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宁夏公立医疗机构医用耗材挂网采购实施方案（征求意见稿）分析</w:t>
      </w:r>
    </w:p>
    <w:p>
      <w:pPr>
        <w:spacing w:lineRule="auto" w:line="324"/>
        <w:ind w:firstLine="420"/>
      </w:pPr>
      <w:r>
        <w:rPr>
          <w:rFonts w:ascii="Calibri" w:hAnsi="Calibri" w:eastAsia="宋体"/>
          <w:b w:val="0"/>
          <w:sz w:val="22"/>
        </w:rPr>
        <w:t>2026年4月7日，宁夏回族自治区医疗保障局发布《自治区公立医疗机构医用耗材挂网采购实施方案（试行）（征求意见稿）》，面向社会公开征求意见，征求意见期为2026年4月7日至4月14日。该方案旨在进一步完善自治区医用耗材挂网采购机制，明确覆盖范围、挂网申报、议价采购、价格联动及监督管理等核心规则，拟替代原《自治区公立医疗机构医用耗材阳光挂网采购实施方案》（宁医保发〔2021〕86号）。</w:t>
      </w:r>
    </w:p>
    <w:p>
      <w:pPr>
        <w:spacing w:lineRule="auto" w:line="324"/>
        <w:ind w:firstLine="420"/>
      </w:pPr>
      <w:r>
        <w:rPr>
          <w:rFonts w:ascii="Calibri" w:hAnsi="Calibri" w:eastAsia="宋体"/>
          <w:b w:val="0"/>
          <w:sz w:val="22"/>
        </w:rPr>
        <w:t>方案强调医疗机构在采购中的主体地位，推行全品种全用量网上采购，并细化了线上议价规程与价格三色监管机制。文件明确挂网价格申报窗口、全国较低价格联动时限、非中选产品价格管理要求以及撤网恢复条件，体外诊断试剂挂网亦参照本方案执行。</w:t>
      </w:r>
    </w:p>
    <w:p>
      <w:pPr>
        <w:pStyle w:val="Heading1"/>
      </w:pPr>
      <w:r>
        <w:t>覆盖范围与申报主体要求</w:t>
      </w:r>
    </w:p>
    <w:p>
      <w:pPr>
        <w:spacing w:lineRule="auto" w:line="324"/>
        <w:ind w:firstLine="420"/>
      </w:pPr>
      <w:r>
        <w:rPr>
          <w:rFonts w:ascii="Calibri" w:hAnsi="Calibri" w:eastAsia="宋体"/>
          <w:b w:val="0"/>
          <w:sz w:val="22"/>
        </w:rPr>
        <w:t>医用耗材范围执行国家统一的分类和编码标准，共涵盖十七大类：非血管介入治疗类材料、血管介入治疗类材料、骨科材料、神经外科材料、心脏外科类材料、人工器官组织及配套材料、口腔材料、眼科材料、体外循环材料、血液净化材料、吻合器及附件、修补材料、中医类材料、基础卫生材料、止血防粘连材料、注射穿刺类材料、功能性敷料。</w:t>
      </w:r>
    </w:p>
    <w:p>
      <w:pPr>
        <w:spacing w:lineRule="auto" w:line="324"/>
        <w:ind w:firstLine="420"/>
      </w:pPr>
      <w:r>
        <w:rPr>
          <w:rFonts w:ascii="Calibri" w:hAnsi="Calibri" w:eastAsia="宋体"/>
          <w:b w:val="0"/>
          <w:sz w:val="22"/>
        </w:rPr>
        <w:t>企业范围包括经药品监督管理部门批准的医用耗材上市许可持有人、持有人委托的生产企业，境外产品全国总代理视为生产企业，以及经批准的经营配送企业。医疗机构范围原则上覆盖全区所有公立医疗机构（含军队医疗机构），全部所需医用耗材应在宁夏医药采购平台阳光采购。医保定点社会办医疗机构按照定点协议管理要求参照执行。新增公立医疗机构、确需独立采购的基层医疗卫生机构、自愿参加的医保定点民营医疗机构需向属地市级医保部门申请开通账户，驻宁军队医疗机构直接向自治区医保部门申请。</w:t>
      </w:r>
    </w:p>
    <w:p>
      <w:pPr>
        <w:pStyle w:val="Heading1"/>
      </w:pPr>
      <w:r>
        <w:t>挂网资质与价格申报规则</w:t>
      </w:r>
    </w:p>
    <w:p>
      <w:pPr>
        <w:spacing w:lineRule="auto" w:line="324"/>
        <w:ind w:firstLine="420"/>
      </w:pPr>
      <w:r>
        <w:rPr>
          <w:rFonts w:ascii="Calibri" w:hAnsi="Calibri" w:eastAsia="宋体"/>
          <w:b w:val="0"/>
          <w:sz w:val="22"/>
        </w:rPr>
        <w:t>企业资质申报需提供营业执照、法定代表人有效证件、医药企业价格和营销行为信用承诺书、生产或经营许可证及总代理证明材料（进口）、法定代表人授权书等。配送企业需提供相应资质及信用承诺书。</w:t>
      </w:r>
    </w:p>
    <w:p>
      <w:pPr>
        <w:spacing w:lineRule="auto" w:line="324"/>
        <w:ind w:firstLine="420"/>
      </w:pPr>
      <w:r>
        <w:rPr>
          <w:rFonts w:ascii="Calibri" w:hAnsi="Calibri" w:eastAsia="宋体"/>
          <w:b w:val="0"/>
          <w:sz w:val="22"/>
        </w:rPr>
        <w:t>产品资质申报分为两类情形：已在全国其他省级平台挂网的产品，需申报全国现行省级挂网价中最低价，经审核公示无异议后按最低价挂网，无全国省级挂网价的产品平台不接受挂网申请；集中带量采购产品按国家、省级联盟相关规定执行，其他省级或省际联盟中选企业愿以中选价格在宁夏供应的，可通过平台完善数据库后以中选价格直接挂网。</w:t>
      </w:r>
    </w:p>
    <w:p>
      <w:pPr>
        <w:spacing w:lineRule="auto" w:line="324"/>
        <w:ind w:firstLine="420"/>
      </w:pPr>
      <w:r>
        <w:rPr>
          <w:rFonts w:ascii="Calibri" w:hAnsi="Calibri" w:eastAsia="宋体"/>
          <w:b w:val="0"/>
          <w:sz w:val="22"/>
        </w:rPr>
        <w:t>价格申报要求明确，医用耗材挂网价格申报于每月前5个工作日完成。所申报医用耗材原则上应至少具备全国3个省份挂网价格。价格风险处置、医药价格和招采信用评价、医院备案采购等其他情形，挂网价格不高于企业承诺价格并符合相应规定。</w:t>
      </w:r>
    </w:p>
    <w:p>
      <w:r>
        <w:rPr>
          <w:rFonts w:ascii="Calibri" w:hAnsi="Calibri" w:eastAsia="宋体"/>
          <w:b/>
          <w:color w:val="C00000"/>
          <w:sz w:val="22"/>
        </w:rPr>
        <w:t>“所申报医用耗材原则上应至少具备全国3个省份挂网价格。”</w:t>
      </w:r>
    </w:p>
    <w:p>
      <w:r>
        <w:rPr>
          <w:rFonts w:ascii="Calibri" w:hAnsi="Calibri" w:eastAsia="宋体"/>
          <w:b/>
          <w:color w:val="C00000"/>
          <w:sz w:val="22"/>
        </w:rPr>
        <w:t>“生产经营企业应在全国现行省级挂网价中新的最低价执行之日起30日内向平台申报价格信息。”</w:t>
      </w:r>
    </w:p>
    <w:p>
      <w:r>
        <w:rPr>
          <w:rFonts w:ascii="Calibri" w:hAnsi="Calibri" w:eastAsia="宋体"/>
          <w:b/>
          <w:sz w:val="20"/>
        </w:rPr>
        <w:t>挂网价格申报与联动要求表</w:t>
      </w:r>
    </w:p>
    <w:tbl>
      <w:tblPr>
        <w:tblStyle w:val="TableGrid"/>
        <w:tblW w:type="auto" w:w="0"/>
        <w:jc w:val="center"/>
        <w:tblLayout w:type="autofit"/>
        <w:tblLook w:firstColumn="1" w:firstRow="1" w:lastColumn="0" w:lastRow="0" w:noHBand="0" w:noVBand="1" w:val="04A0"/>
      </w:tblPr>
      <w:tblGrid>
        <w:gridCol w:w="3061"/>
        <w:gridCol w:w="3061"/>
        <w:gridCol w:w="3061"/>
      </w:tblGrid>
      <w:tr>
        <w:trPr>
          <w:tblHeader w:val="true"/>
        </w:trPr>
        <w:tc>
          <w:tcPr>
            <w:tcW w:type="dxa" w:w="3061"/>
            <w:vAlign w:val="center"/>
            <w:shd w:fill="D9EAF7"/>
          </w:tcPr>
          <w:p>
            <w:pPr>
              <w:jc w:val="center"/>
            </w:pPr>
            <w:r>
              <w:rPr>
                <w:rFonts w:ascii="Calibri" w:hAnsi="Calibri" w:eastAsia="宋体"/>
                <w:b/>
                <w:sz w:val="20"/>
              </w:rPr>
              <w:t>事项</w:t>
            </w:r>
          </w:p>
        </w:tc>
        <w:tc>
          <w:tcPr>
            <w:tcW w:type="dxa" w:w="3061"/>
            <w:vAlign w:val="center"/>
            <w:shd w:fill="D9EAF7"/>
          </w:tcPr>
          <w:p>
            <w:pPr>
              <w:jc w:val="center"/>
            </w:pPr>
            <w:r>
              <w:rPr>
                <w:rFonts w:ascii="Calibri" w:hAnsi="Calibri" w:eastAsia="宋体"/>
                <w:b/>
                <w:sz w:val="20"/>
              </w:rPr>
              <w:t>规则要求</w:t>
            </w:r>
          </w:p>
        </w:tc>
        <w:tc>
          <w:tcPr>
            <w:tcW w:type="dxa" w:w="3061"/>
            <w:vAlign w:val="center"/>
            <w:shd w:fill="D9EAF7"/>
          </w:tcPr>
          <w:p>
            <w:pPr>
              <w:jc w:val="center"/>
            </w:pPr>
            <w:r>
              <w:rPr>
                <w:rFonts w:ascii="Calibri" w:hAnsi="Calibri" w:eastAsia="宋体"/>
                <w:b/>
                <w:sz w:val="20"/>
              </w:rPr>
              <w:t>备注/后果</w:t>
            </w:r>
          </w:p>
        </w:tc>
      </w:tr>
      <w:tr>
        <w:tc>
          <w:tcPr>
            <w:tcW w:type="dxa" w:w="3061"/>
            <w:vAlign w:val="center"/>
          </w:tcPr>
          <w:p>
            <w:r>
              <w:rPr>
                <w:rFonts w:ascii="Calibri" w:hAnsi="Calibri" w:eastAsia="宋体"/>
                <w:sz w:val="20"/>
              </w:rPr>
              <w:t>价格申报窗口</w:t>
            </w:r>
          </w:p>
        </w:tc>
        <w:tc>
          <w:tcPr>
            <w:tcW w:type="dxa" w:w="3061"/>
            <w:vAlign w:val="center"/>
          </w:tcPr>
          <w:p>
            <w:r>
              <w:rPr>
                <w:rFonts w:ascii="Calibri" w:hAnsi="Calibri" w:eastAsia="宋体"/>
                <w:sz w:val="20"/>
              </w:rPr>
              <w:t>每月前5个工作日完成申报</w:t>
            </w:r>
          </w:p>
        </w:tc>
        <w:tc>
          <w:tcPr>
            <w:tcW w:type="dxa" w:w="3061"/>
            <w:vAlign w:val="center"/>
          </w:tcPr>
          <w:p>
            <w:r>
              <w:rPr>
                <w:rFonts w:ascii="Calibri" w:hAnsi="Calibri" w:eastAsia="宋体"/>
                <w:sz w:val="20"/>
              </w:rPr>
              <w:t>逾期可能影响当期挂网进度</w:t>
            </w:r>
          </w:p>
        </w:tc>
      </w:tr>
      <w:tr>
        <w:tc>
          <w:tcPr>
            <w:tcW w:type="dxa" w:w="3061"/>
            <w:vAlign w:val="center"/>
          </w:tcPr>
          <w:p>
            <w:r>
              <w:rPr>
                <w:rFonts w:ascii="Calibri" w:hAnsi="Calibri" w:eastAsia="宋体"/>
                <w:sz w:val="20"/>
              </w:rPr>
              <w:t>挂网价门槛</w:t>
            </w:r>
          </w:p>
        </w:tc>
        <w:tc>
          <w:tcPr>
            <w:tcW w:type="dxa" w:w="3061"/>
            <w:vAlign w:val="center"/>
          </w:tcPr>
          <w:p>
            <w:r>
              <w:rPr>
                <w:rFonts w:ascii="Calibri" w:hAnsi="Calibri" w:eastAsia="宋体"/>
                <w:sz w:val="20"/>
              </w:rPr>
              <w:t>原则上至少具备全国3个省份挂网价格</w:t>
            </w:r>
          </w:p>
        </w:tc>
        <w:tc>
          <w:tcPr>
            <w:tcW w:type="dxa" w:w="3061"/>
            <w:vAlign w:val="center"/>
          </w:tcPr>
          <w:p>
            <w:r>
              <w:rPr>
                <w:rFonts w:ascii="Calibri" w:hAnsi="Calibri" w:eastAsia="宋体"/>
                <w:sz w:val="20"/>
              </w:rPr>
              <w:t>无全国省级挂网价的产品不接受申请</w:t>
            </w:r>
          </w:p>
        </w:tc>
      </w:tr>
      <w:tr>
        <w:tc>
          <w:tcPr>
            <w:tcW w:type="dxa" w:w="3061"/>
            <w:vAlign w:val="center"/>
          </w:tcPr>
          <w:p>
            <w:r>
              <w:rPr>
                <w:rFonts w:ascii="Calibri" w:hAnsi="Calibri" w:eastAsia="宋体"/>
                <w:sz w:val="20"/>
              </w:rPr>
              <w:t>价格联动时限</w:t>
            </w:r>
          </w:p>
        </w:tc>
        <w:tc>
          <w:tcPr>
            <w:tcW w:type="dxa" w:w="3061"/>
            <w:vAlign w:val="center"/>
          </w:tcPr>
          <w:p>
            <w:r>
              <w:rPr>
                <w:rFonts w:ascii="Calibri" w:hAnsi="Calibri" w:eastAsia="宋体"/>
                <w:sz w:val="20"/>
              </w:rPr>
              <w:t>全国现行省级挂网价中新的最低价执行之日起30日内申报</w:t>
            </w:r>
          </w:p>
        </w:tc>
        <w:tc>
          <w:tcPr>
            <w:tcW w:type="dxa" w:w="3061"/>
            <w:vAlign w:val="center"/>
          </w:tcPr>
          <w:p>
            <w:r>
              <w:rPr>
                <w:rFonts w:ascii="Calibri" w:hAnsi="Calibri" w:eastAsia="宋体"/>
                <w:sz w:val="20"/>
              </w:rPr>
              <w:t>未及时申报、申报不实或未联动，暂停挂网1年</w:t>
            </w:r>
          </w:p>
        </w:tc>
      </w:tr>
      <w:tr>
        <w:tc>
          <w:tcPr>
            <w:tcW w:type="dxa" w:w="3061"/>
            <w:vAlign w:val="center"/>
          </w:tcPr>
          <w:p>
            <w:r>
              <w:rPr>
                <w:rFonts w:ascii="Calibri" w:hAnsi="Calibri" w:eastAsia="宋体"/>
                <w:sz w:val="20"/>
              </w:rPr>
              <w:t>特殊情形挂网</w:t>
            </w:r>
          </w:p>
        </w:tc>
        <w:tc>
          <w:tcPr>
            <w:tcW w:type="dxa" w:w="3061"/>
            <w:vAlign w:val="center"/>
          </w:tcPr>
          <w:p>
            <w:r>
              <w:rPr>
                <w:rFonts w:ascii="Calibri" w:hAnsi="Calibri" w:eastAsia="宋体"/>
                <w:sz w:val="20"/>
              </w:rPr>
              <w:t>价格风险处置、信用评价、备案采购等情形</w:t>
            </w:r>
          </w:p>
        </w:tc>
        <w:tc>
          <w:tcPr>
            <w:tcW w:type="dxa" w:w="3061"/>
            <w:vAlign w:val="center"/>
          </w:tcPr>
          <w:p>
            <w:r>
              <w:rPr>
                <w:rFonts w:ascii="Calibri" w:hAnsi="Calibri" w:eastAsia="宋体"/>
                <w:sz w:val="20"/>
              </w:rPr>
              <w:t>挂网价格不高于企业承诺价格并符合规定</w:t>
            </w:r>
          </w:p>
        </w:tc>
      </w:tr>
    </w:tbl>
    <w:p/>
    <w:p>
      <w:pPr>
        <w:pStyle w:val="Heading1"/>
      </w:pPr>
      <w:r>
        <w:t>采购流程与线上议价机制</w:t>
      </w:r>
    </w:p>
    <w:p>
      <w:pPr>
        <w:spacing w:lineRule="auto" w:line="324"/>
        <w:ind w:firstLine="420"/>
      </w:pPr>
      <w:r>
        <w:rPr>
          <w:rFonts w:ascii="Calibri" w:hAnsi="Calibri" w:eastAsia="宋体"/>
          <w:b w:val="0"/>
          <w:sz w:val="22"/>
        </w:rPr>
        <w:t>平台挂网产品均应议价（国家、省际联盟、自治区组织集中带量采购周期内中选产品除外）。医疗机构应与生产经营企业通过平台按照线上议价工作规程在挂网价下开展实质性议价，议定价格不得高于挂网价格。</w:t>
      </w:r>
    </w:p>
    <w:p>
      <w:pPr>
        <w:spacing w:lineRule="auto" w:line="324"/>
        <w:ind w:firstLine="420"/>
      </w:pPr>
      <w:r>
        <w:rPr>
          <w:rFonts w:ascii="Calibri" w:hAnsi="Calibri" w:eastAsia="宋体"/>
          <w:b w:val="0"/>
          <w:sz w:val="22"/>
        </w:rPr>
        <w:t>线上议价规程明确四个步骤：医疗机构基于挂网价提交计划采购量与建议采购价，采取“一对多”模式对同品种不同企业分别发起；生产企业应在发起之日起在线响应，可同意或还价；医疗机构响应企业还价或继续发起；双方协定后开展采购。</w:t>
      </w:r>
    </w:p>
    <w:p>
      <w:pPr>
        <w:spacing w:lineRule="auto" w:line="324"/>
        <w:ind w:firstLine="420"/>
      </w:pPr>
      <w:r>
        <w:rPr>
          <w:rFonts w:ascii="Calibri" w:hAnsi="Calibri" w:eastAsia="宋体"/>
          <w:b w:val="0"/>
          <w:sz w:val="22"/>
        </w:rPr>
        <w:t>议定后医用耗材价格低于挂网价格的，实际采购价在平台进行登记，单独建表建库管理。该议定价格仅供医保部门掌握价格动态使用，不在平台对外展示，不直接替代挂网价格。</w:t>
      </w:r>
    </w:p>
    <w:p>
      <w:r>
        <w:rPr>
          <w:rFonts w:ascii="Calibri" w:hAnsi="Calibri" w:eastAsia="宋体"/>
          <w:b/>
          <w:color w:val="C00000"/>
          <w:sz w:val="22"/>
        </w:rPr>
        <w:t>“企业超过3天没有响应的，医疗机构提供本单位交易记录后，平台将自动默认该议价价格。”</w:t>
      </w:r>
    </w:p>
    <w:p>
      <w:r>
        <w:rPr>
          <w:rFonts w:ascii="Calibri" w:hAnsi="Calibri" w:eastAsia="宋体"/>
          <w:b/>
          <w:color w:val="C00000"/>
          <w:sz w:val="22"/>
        </w:rPr>
        <w:t>“企业超过5天不响应的，视为自动放弃议价，系统将自动取消该议价流程。”</w:t>
      </w:r>
    </w:p>
    <w:p>
      <w:r>
        <w:rPr>
          <w:rFonts w:ascii="Calibri" w:hAnsi="Calibri" w:eastAsia="宋体"/>
          <w:b/>
          <w:sz w:val="20"/>
        </w:rPr>
        <w:t>线上议价流程与时限规则表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环节</w:t>
            </w:r>
          </w:p>
        </w:tc>
        <w:tc>
          <w:tcPr>
            <w:tcW w:type="dxa" w:w="2296"/>
            <w:vAlign w:val="center"/>
            <w:shd w:fill="D9EAF7"/>
          </w:tcPr>
          <w:p>
            <w:pPr>
              <w:jc w:val="center"/>
            </w:pPr>
            <w:r>
              <w:rPr>
                <w:rFonts w:ascii="Calibri" w:hAnsi="Calibri" w:eastAsia="宋体"/>
                <w:b/>
                <w:sz w:val="20"/>
              </w:rPr>
              <w:t>操作主体</w:t>
            </w:r>
          </w:p>
        </w:tc>
        <w:tc>
          <w:tcPr>
            <w:tcW w:type="dxa" w:w="2296"/>
            <w:vAlign w:val="center"/>
            <w:shd w:fill="D9EAF7"/>
          </w:tcPr>
          <w:p>
            <w:pPr>
              <w:jc w:val="center"/>
            </w:pPr>
            <w:r>
              <w:rPr>
                <w:rFonts w:ascii="Calibri" w:hAnsi="Calibri" w:eastAsia="宋体"/>
                <w:b/>
                <w:sz w:val="20"/>
              </w:rPr>
              <w:t>规则与时限要求</w:t>
            </w:r>
          </w:p>
        </w:tc>
        <w:tc>
          <w:tcPr>
            <w:tcW w:type="dxa" w:w="2296"/>
            <w:vAlign w:val="center"/>
            <w:shd w:fill="D9EAF7"/>
          </w:tcPr>
          <w:p>
            <w:pPr>
              <w:jc w:val="center"/>
            </w:pPr>
            <w:r>
              <w:rPr>
                <w:rFonts w:ascii="Calibri" w:hAnsi="Calibri" w:eastAsia="宋体"/>
                <w:b/>
                <w:sz w:val="20"/>
              </w:rPr>
              <w:t>超期/未响应后果</w:t>
            </w:r>
          </w:p>
        </w:tc>
      </w:tr>
      <w:tr>
        <w:tc>
          <w:tcPr>
            <w:tcW w:type="dxa" w:w="2296"/>
            <w:vAlign w:val="center"/>
          </w:tcPr>
          <w:p>
            <w:r>
              <w:rPr>
                <w:rFonts w:ascii="Calibri" w:hAnsi="Calibri" w:eastAsia="宋体"/>
                <w:sz w:val="20"/>
              </w:rPr>
              <w:t>发起议价</w:t>
            </w:r>
          </w:p>
        </w:tc>
        <w:tc>
          <w:tcPr>
            <w:tcW w:type="dxa" w:w="2296"/>
            <w:vAlign w:val="center"/>
          </w:tcPr>
          <w:p>
            <w:r>
              <w:rPr>
                <w:rFonts w:ascii="Calibri" w:hAnsi="Calibri" w:eastAsia="宋体"/>
                <w:sz w:val="20"/>
              </w:rPr>
              <w:t>医疗机构</w:t>
            </w:r>
          </w:p>
        </w:tc>
        <w:tc>
          <w:tcPr>
            <w:tcW w:type="dxa" w:w="2296"/>
            <w:vAlign w:val="center"/>
          </w:tcPr>
          <w:p>
            <w:r>
              <w:rPr>
                <w:rFonts w:ascii="Calibri" w:hAnsi="Calibri" w:eastAsia="宋体"/>
                <w:sz w:val="20"/>
              </w:rPr>
              <w:t>提交计划采购量、建议采购价（不得高于挂网价）</w:t>
            </w:r>
          </w:p>
        </w:tc>
        <w:tc>
          <w:tcPr>
            <w:tcW w:type="dxa" w:w="2296"/>
            <w:vAlign w:val="center"/>
          </w:tcPr>
          <w:p>
            <w:r>
              <w:rPr>
                <w:rFonts w:ascii="Calibri" w:hAnsi="Calibri" w:eastAsia="宋体"/>
                <w:sz w:val="20"/>
              </w:rPr>
              <w:t>以产品名称或分类名称“一对多”发起</w:t>
            </w:r>
          </w:p>
        </w:tc>
      </w:tr>
      <w:tr>
        <w:tc>
          <w:tcPr>
            <w:tcW w:type="dxa" w:w="2296"/>
            <w:vAlign w:val="center"/>
          </w:tcPr>
          <w:p>
            <w:r>
              <w:rPr>
                <w:rFonts w:ascii="Calibri" w:hAnsi="Calibri" w:eastAsia="宋体"/>
                <w:sz w:val="20"/>
              </w:rPr>
              <w:t>企业响应</w:t>
            </w:r>
          </w:p>
        </w:tc>
        <w:tc>
          <w:tcPr>
            <w:tcW w:type="dxa" w:w="2296"/>
            <w:vAlign w:val="center"/>
          </w:tcPr>
          <w:p>
            <w:r>
              <w:rPr>
                <w:rFonts w:ascii="Calibri" w:hAnsi="Calibri" w:eastAsia="宋体"/>
                <w:sz w:val="20"/>
              </w:rPr>
              <w:t>生产企业</w:t>
            </w:r>
          </w:p>
        </w:tc>
        <w:tc>
          <w:tcPr>
            <w:tcW w:type="dxa" w:w="2296"/>
            <w:vAlign w:val="center"/>
          </w:tcPr>
          <w:p>
            <w:r>
              <w:rPr>
                <w:rFonts w:ascii="Calibri" w:hAnsi="Calibri" w:eastAsia="宋体"/>
                <w:sz w:val="20"/>
              </w:rPr>
              <w:t>在线响应，可同意或还价</w:t>
            </w:r>
          </w:p>
        </w:tc>
        <w:tc>
          <w:tcPr>
            <w:tcW w:type="dxa" w:w="2296"/>
            <w:vAlign w:val="center"/>
          </w:tcPr>
          <w:p>
            <w:r>
              <w:rPr>
                <w:rFonts w:ascii="Calibri" w:hAnsi="Calibri" w:eastAsia="宋体"/>
                <w:sz w:val="20"/>
              </w:rPr>
              <w:t>超3天未响应：医院上传发票后平台自动默认议价价；超5天不响应：视为自动放弃，系统取消流程</w:t>
            </w:r>
          </w:p>
        </w:tc>
      </w:tr>
      <w:tr>
        <w:tc>
          <w:tcPr>
            <w:tcW w:type="dxa" w:w="2296"/>
            <w:vAlign w:val="center"/>
          </w:tcPr>
          <w:p>
            <w:r>
              <w:rPr>
                <w:rFonts w:ascii="Calibri" w:hAnsi="Calibri" w:eastAsia="宋体"/>
                <w:sz w:val="20"/>
              </w:rPr>
              <w:t>医院响应</w:t>
            </w:r>
          </w:p>
        </w:tc>
        <w:tc>
          <w:tcPr>
            <w:tcW w:type="dxa" w:w="2296"/>
            <w:vAlign w:val="center"/>
          </w:tcPr>
          <w:p>
            <w:r>
              <w:rPr>
                <w:rFonts w:ascii="Calibri" w:hAnsi="Calibri" w:eastAsia="宋体"/>
                <w:sz w:val="20"/>
              </w:rPr>
              <w:t>医疗机构</w:t>
            </w:r>
          </w:p>
        </w:tc>
        <w:tc>
          <w:tcPr>
            <w:tcW w:type="dxa" w:w="2296"/>
            <w:vAlign w:val="center"/>
          </w:tcPr>
          <w:p>
            <w:r>
              <w:rPr>
                <w:rFonts w:ascii="Calibri" w:hAnsi="Calibri" w:eastAsia="宋体"/>
                <w:sz w:val="20"/>
              </w:rPr>
              <w:t>同意企业还价或继续发起议价</w:t>
            </w:r>
          </w:p>
        </w:tc>
        <w:tc>
          <w:tcPr>
            <w:tcW w:type="dxa" w:w="2296"/>
            <w:vAlign w:val="center"/>
          </w:tcPr>
          <w:p>
            <w:r>
              <w:rPr>
                <w:rFonts w:ascii="Calibri" w:hAnsi="Calibri" w:eastAsia="宋体"/>
                <w:sz w:val="20"/>
              </w:rPr>
              <w:t>按双方协定结果执行</w:t>
            </w:r>
          </w:p>
        </w:tc>
      </w:tr>
      <w:tr>
        <w:tc>
          <w:tcPr>
            <w:tcW w:type="dxa" w:w="2296"/>
            <w:vAlign w:val="center"/>
          </w:tcPr>
          <w:p>
            <w:r>
              <w:rPr>
                <w:rFonts w:ascii="Calibri" w:hAnsi="Calibri" w:eastAsia="宋体"/>
                <w:sz w:val="20"/>
              </w:rPr>
              <w:t>价格管理</w:t>
            </w:r>
          </w:p>
        </w:tc>
        <w:tc>
          <w:tcPr>
            <w:tcW w:type="dxa" w:w="2296"/>
            <w:vAlign w:val="center"/>
          </w:tcPr>
          <w:p>
            <w:r>
              <w:rPr>
                <w:rFonts w:ascii="Calibri" w:hAnsi="Calibri" w:eastAsia="宋体"/>
                <w:sz w:val="20"/>
              </w:rPr>
              <w:t>平台/医保部门</w:t>
            </w:r>
          </w:p>
        </w:tc>
        <w:tc>
          <w:tcPr>
            <w:tcW w:type="dxa" w:w="2296"/>
            <w:vAlign w:val="center"/>
          </w:tcPr>
          <w:p>
            <w:r>
              <w:rPr>
                <w:rFonts w:ascii="Calibri" w:hAnsi="Calibri" w:eastAsia="宋体"/>
                <w:sz w:val="20"/>
              </w:rPr>
              <w:t>议价价低于挂网价单独建库管理</w:t>
            </w:r>
          </w:p>
        </w:tc>
        <w:tc>
          <w:tcPr>
            <w:tcW w:type="dxa" w:w="2296"/>
            <w:vAlign w:val="center"/>
          </w:tcPr>
          <w:p>
            <w:r>
              <w:rPr>
                <w:rFonts w:ascii="Calibri" w:hAnsi="Calibri" w:eastAsia="宋体"/>
                <w:sz w:val="20"/>
              </w:rPr>
              <w:t>不对外展示，不直接替代挂网价格</w:t>
            </w:r>
          </w:p>
        </w:tc>
      </w:tr>
    </w:tbl>
    <w:p/>
    <w:p>
      <w:pPr>
        <w:pStyle w:val="Heading1"/>
      </w:pPr>
      <w:r>
        <w:t>价格监管与动态联动管理</w:t>
      </w:r>
    </w:p>
    <w:p>
      <w:pPr>
        <w:spacing w:lineRule="auto" w:line="324"/>
        <w:ind w:firstLine="420"/>
      </w:pPr>
      <w:r>
        <w:rPr>
          <w:rFonts w:ascii="Calibri" w:hAnsi="Calibri" w:eastAsia="宋体"/>
          <w:b w:val="0"/>
          <w:sz w:val="22"/>
        </w:rPr>
        <w:t>平台对相同医保编码医用耗材在不同医疗机构之间存在不同采购价格情形的，以医疗机构实际有采购的最低采购价为基线价，将其他医疗机构采购价格与该价格进行比对，实行三色管理。价差在50%（含）以内的标示绿色，为合理区间；价差在50%（不含）至100%（不含）之间的标示黄色，为异常区间；价差在100%（含）以上的标示红色，为明显异常区间。</w:t>
      </w:r>
    </w:p>
    <w:p>
      <w:pPr>
        <w:spacing w:lineRule="auto" w:line="324"/>
        <w:ind w:firstLine="420"/>
      </w:pPr>
      <w:r>
        <w:rPr>
          <w:rFonts w:ascii="Calibri" w:hAnsi="Calibri" w:eastAsia="宋体"/>
          <w:b w:val="0"/>
          <w:sz w:val="22"/>
        </w:rPr>
        <w:t>医疗机构如存在采购红、黄区间价差较高产品的，由市级医保部门按照自治区价格监测等相关制度规定，要求医疗机构整改并定期监督。各级医保部门落实属地化管理职责，配合卫生健康部门规范医疗机构医用耗材管理。对长期不议价或其他采购异常情况的医疗机构，将视情约谈、通报。</w:t>
      </w:r>
    </w:p>
    <w:p>
      <w:pPr>
        <w:spacing w:lineRule="auto" w:line="324"/>
        <w:ind w:firstLine="420"/>
      </w:pPr>
      <w:r>
        <w:rPr>
          <w:rFonts w:ascii="Calibri" w:hAnsi="Calibri" w:eastAsia="宋体"/>
          <w:b w:val="0"/>
          <w:sz w:val="22"/>
        </w:rPr>
        <w:t>品种动态管理方面，适时对平台挂网耗材进行动态调整。对2年无采购记录的产品纳入不活跃区。对使用、配送过程中出现质量安全问题，由监管部门反馈或通报要求召回、违规处罚的，自治区医保部门有权暂停挂网半年以上，也可视情节直接取消挂网或配送资格。</w:t>
      </w:r>
    </w:p>
    <w:p>
      <w:r>
        <w:rPr>
          <w:rFonts w:ascii="Calibri" w:hAnsi="Calibri" w:eastAsia="宋体"/>
          <w:b/>
          <w:color w:val="C00000"/>
          <w:sz w:val="22"/>
        </w:rPr>
        <w:t>“如生产企业存在虚报、瞒报全国最低挂网价格的，一经查实将按有关规定作暂停挂网等处理。”</w:t>
      </w:r>
    </w:p>
    <w:p>
      <w:r>
        <w:rPr>
          <w:rFonts w:ascii="Calibri" w:hAnsi="Calibri" w:eastAsia="宋体"/>
          <w:b/>
          <w:sz w:val="20"/>
        </w:rPr>
        <w:t>采购价格监管三色管理标准表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颜色标识</w:t>
            </w:r>
          </w:p>
        </w:tc>
        <w:tc>
          <w:tcPr>
            <w:tcW w:type="dxa" w:w="2296"/>
            <w:vAlign w:val="center"/>
            <w:shd w:fill="D9EAF7"/>
          </w:tcPr>
          <w:p>
            <w:pPr>
              <w:jc w:val="center"/>
            </w:pPr>
            <w:r>
              <w:rPr>
                <w:rFonts w:ascii="Calibri" w:hAnsi="Calibri" w:eastAsia="宋体"/>
                <w:b/>
                <w:sz w:val="20"/>
              </w:rPr>
              <w:t>价差区间（以最低采购价为基线）</w:t>
            </w:r>
          </w:p>
        </w:tc>
        <w:tc>
          <w:tcPr>
            <w:tcW w:type="dxa" w:w="2296"/>
            <w:vAlign w:val="center"/>
            <w:shd w:fill="D9EAF7"/>
          </w:tcPr>
          <w:p>
            <w:pPr>
              <w:jc w:val="center"/>
            </w:pPr>
            <w:r>
              <w:rPr>
                <w:rFonts w:ascii="Calibri" w:hAnsi="Calibri" w:eastAsia="宋体"/>
                <w:b/>
                <w:sz w:val="20"/>
              </w:rPr>
              <w:t>管理定性</w:t>
            </w:r>
          </w:p>
        </w:tc>
        <w:tc>
          <w:tcPr>
            <w:tcW w:type="dxa" w:w="2296"/>
            <w:vAlign w:val="center"/>
            <w:shd w:fill="D9EAF7"/>
          </w:tcPr>
          <w:p>
            <w:pPr>
              <w:jc w:val="center"/>
            </w:pPr>
            <w:r>
              <w:rPr>
                <w:rFonts w:ascii="Calibri" w:hAnsi="Calibri" w:eastAsia="宋体"/>
                <w:b/>
                <w:sz w:val="20"/>
              </w:rPr>
              <w:t>监管措施</w:t>
            </w:r>
          </w:p>
        </w:tc>
      </w:tr>
      <w:tr>
        <w:tc>
          <w:tcPr>
            <w:tcW w:type="dxa" w:w="2296"/>
            <w:vAlign w:val="center"/>
          </w:tcPr>
          <w:p>
            <w:r>
              <w:rPr>
                <w:rFonts w:ascii="Calibri" w:hAnsi="Calibri" w:eastAsia="宋体"/>
                <w:sz w:val="20"/>
              </w:rPr>
              <w:t>绿色</w:t>
            </w:r>
          </w:p>
        </w:tc>
        <w:tc>
          <w:tcPr>
            <w:tcW w:type="dxa" w:w="2296"/>
            <w:vAlign w:val="center"/>
          </w:tcPr>
          <w:p>
            <w:r>
              <w:rPr>
                <w:rFonts w:ascii="Calibri" w:hAnsi="Calibri" w:eastAsia="宋体"/>
                <w:sz w:val="20"/>
              </w:rPr>
              <w:t>50%（含）以内</w:t>
            </w:r>
          </w:p>
        </w:tc>
        <w:tc>
          <w:tcPr>
            <w:tcW w:type="dxa" w:w="2296"/>
            <w:vAlign w:val="center"/>
          </w:tcPr>
          <w:p>
            <w:r>
              <w:rPr>
                <w:rFonts w:ascii="Calibri" w:hAnsi="Calibri" w:eastAsia="宋体"/>
                <w:sz w:val="20"/>
              </w:rPr>
              <w:t>合理区间采购价格</w:t>
            </w:r>
          </w:p>
        </w:tc>
        <w:tc>
          <w:tcPr>
            <w:tcW w:type="dxa" w:w="2296"/>
            <w:vAlign w:val="center"/>
          </w:tcPr>
          <w:p>
            <w:r>
              <w:rPr>
                <w:rFonts w:ascii="Calibri" w:hAnsi="Calibri" w:eastAsia="宋体"/>
                <w:sz w:val="20"/>
              </w:rPr>
              <w:t>常规监测</w:t>
            </w:r>
          </w:p>
        </w:tc>
      </w:tr>
      <w:tr>
        <w:tc>
          <w:tcPr>
            <w:tcW w:type="dxa" w:w="2296"/>
            <w:vAlign w:val="center"/>
          </w:tcPr>
          <w:p>
            <w:r>
              <w:rPr>
                <w:rFonts w:ascii="Calibri" w:hAnsi="Calibri" w:eastAsia="宋体"/>
                <w:sz w:val="20"/>
              </w:rPr>
              <w:t>黄色</w:t>
            </w:r>
          </w:p>
        </w:tc>
        <w:tc>
          <w:tcPr>
            <w:tcW w:type="dxa" w:w="2296"/>
            <w:vAlign w:val="center"/>
          </w:tcPr>
          <w:p>
            <w:r>
              <w:rPr>
                <w:rFonts w:ascii="Calibri" w:hAnsi="Calibri" w:eastAsia="宋体"/>
                <w:sz w:val="20"/>
              </w:rPr>
              <w:t>50%（不含）-100%（不含）</w:t>
            </w:r>
          </w:p>
        </w:tc>
        <w:tc>
          <w:tcPr>
            <w:tcW w:type="dxa" w:w="2296"/>
            <w:vAlign w:val="center"/>
          </w:tcPr>
          <w:p>
            <w:r>
              <w:rPr>
                <w:rFonts w:ascii="Calibri" w:hAnsi="Calibri" w:eastAsia="宋体"/>
                <w:sz w:val="20"/>
              </w:rPr>
              <w:t>异常区间采购价格</w:t>
            </w:r>
          </w:p>
        </w:tc>
        <w:tc>
          <w:tcPr>
            <w:tcW w:type="dxa" w:w="2296"/>
            <w:vAlign w:val="center"/>
          </w:tcPr>
          <w:p>
            <w:r>
              <w:rPr>
                <w:rFonts w:ascii="Calibri" w:hAnsi="Calibri" w:eastAsia="宋体"/>
                <w:sz w:val="20"/>
              </w:rPr>
              <w:t>市级医保部门要求整改并定期监督</w:t>
            </w:r>
          </w:p>
        </w:tc>
      </w:tr>
      <w:tr>
        <w:tc>
          <w:tcPr>
            <w:tcW w:type="dxa" w:w="2296"/>
            <w:vAlign w:val="center"/>
          </w:tcPr>
          <w:p>
            <w:r>
              <w:rPr>
                <w:rFonts w:ascii="Calibri" w:hAnsi="Calibri" w:eastAsia="宋体"/>
                <w:sz w:val="20"/>
              </w:rPr>
              <w:t>红色</w:t>
            </w:r>
          </w:p>
        </w:tc>
        <w:tc>
          <w:tcPr>
            <w:tcW w:type="dxa" w:w="2296"/>
            <w:vAlign w:val="center"/>
          </w:tcPr>
          <w:p>
            <w:r>
              <w:rPr>
                <w:rFonts w:ascii="Calibri" w:hAnsi="Calibri" w:eastAsia="宋体"/>
                <w:sz w:val="20"/>
              </w:rPr>
              <w:t>100%（含）以上</w:t>
            </w:r>
          </w:p>
        </w:tc>
        <w:tc>
          <w:tcPr>
            <w:tcW w:type="dxa" w:w="2296"/>
            <w:vAlign w:val="center"/>
          </w:tcPr>
          <w:p>
            <w:r>
              <w:rPr>
                <w:rFonts w:ascii="Calibri" w:hAnsi="Calibri" w:eastAsia="宋体"/>
                <w:sz w:val="20"/>
              </w:rPr>
              <w:t>明显异常区间采购价格</w:t>
            </w:r>
          </w:p>
        </w:tc>
        <w:tc>
          <w:tcPr>
            <w:tcW w:type="dxa" w:w="2296"/>
            <w:vAlign w:val="center"/>
          </w:tcPr>
          <w:p>
            <w:r>
              <w:rPr>
                <w:rFonts w:ascii="Calibri" w:hAnsi="Calibri" w:eastAsia="宋体"/>
                <w:sz w:val="20"/>
              </w:rPr>
              <w:t>市级医保部门要求整改并定期监督</w:t>
            </w:r>
          </w:p>
        </w:tc>
      </w:tr>
    </w:tbl>
    <w:p/>
    <w:p>
      <w:pPr>
        <w:pStyle w:val="Heading1"/>
      </w:pPr>
      <w:r>
        <w:t>非中选产品管理</w:t>
      </w:r>
    </w:p>
    <w:p>
      <w:pPr>
        <w:spacing w:lineRule="auto" w:line="324"/>
        <w:ind w:firstLine="420"/>
      </w:pPr>
      <w:r>
        <w:rPr>
          <w:rFonts w:ascii="Calibri" w:hAnsi="Calibri" w:eastAsia="宋体"/>
          <w:b w:val="0"/>
          <w:sz w:val="22"/>
        </w:rPr>
        <w:t>文件明确集中带量采购非中选医用耗材的价格管理要求。集中带量采购非中选医用耗材，应按照国家、省际联盟等集采非中选产品价格管理要求进行价格联动。</w:t>
      </w:r>
    </w:p>
    <w:p>
      <w:pPr>
        <w:spacing w:lineRule="auto" w:line="324"/>
        <w:ind w:firstLine="420"/>
      </w:pPr>
      <w:r>
        <w:rPr>
          <w:rFonts w:ascii="Calibri" w:hAnsi="Calibri" w:eastAsia="宋体"/>
          <w:b w:val="0"/>
          <w:sz w:val="22"/>
        </w:rPr>
        <w:t>对于不符合价格联动要求的非中选产品，视情况予以风险提示、撤销挂网等处理。文件未详细披露非中选产品是否可作为中选产品挂网采购、是否共享协议采购量或具体无协议量安排，相关执行细节以正式文件或后续配套规定为准。</w:t>
      </w:r>
    </w:p>
    <w:p>
      <w:pPr>
        <w:pStyle w:val="Heading1"/>
      </w:pPr>
      <w:r>
        <w:t>备案采购与配送结算安排</w:t>
      </w:r>
    </w:p>
    <w:p>
      <w:pPr>
        <w:spacing w:lineRule="auto" w:line="324"/>
        <w:ind w:firstLine="420"/>
      </w:pPr>
      <w:r>
        <w:rPr>
          <w:rFonts w:ascii="Calibri" w:hAnsi="Calibri" w:eastAsia="宋体"/>
          <w:b w:val="0"/>
          <w:sz w:val="22"/>
        </w:rPr>
        <w:t>备案采购主要面向新技术产品和临床必需的医用耗材产品，遵循“先备案后采购、谁备案谁采购、凡备案必采购”原则。由区内二级及以上公立医疗机构通过平台申报备案信息，企业维护产品信息。备案采购信息每月公示公布一次。满足挂网条件的备案产品，直接纳入挂网采购。因疫情防控、急抢救等紧急情况，经医疗机构法定代表人同意可先行采购应急使用，并于20个工作日内补办备案采购手续。</w:t>
      </w:r>
    </w:p>
    <w:p>
      <w:pPr>
        <w:spacing w:lineRule="auto" w:line="324"/>
        <w:ind w:firstLine="420"/>
      </w:pPr>
      <w:r>
        <w:rPr>
          <w:rFonts w:ascii="Calibri" w:hAnsi="Calibri" w:eastAsia="宋体"/>
          <w:b w:val="0"/>
          <w:sz w:val="22"/>
        </w:rPr>
        <w:t>配送管理明确生产企业是产品质量和供应保障第一责任人，必须无条件保障供应。医用耗材由挂网生产企业直接配送或委托有配送能力的企业配送，配送费用包含在采购价格中。需冷链运输的，企业需具备相应条件。配送关系以县（区）级明确区域，以授权书为准。发生供应保障问题可经双方同意解除并重新选择。</w:t>
      </w:r>
    </w:p>
    <w:p>
      <w:pPr>
        <w:spacing w:lineRule="auto" w:line="324"/>
        <w:ind w:firstLine="420"/>
      </w:pPr>
      <w:r>
        <w:rPr>
          <w:rFonts w:ascii="Calibri" w:hAnsi="Calibri" w:eastAsia="宋体"/>
          <w:b w:val="0"/>
          <w:sz w:val="22"/>
        </w:rPr>
        <w:t>结算管理要求医疗机构承担采购结算主体责任，按采购合同及时结清货款，结清时间不得超过交货验收合格后次月底。在落实主体责任前提下，持续推进医保基金与医用耗材企业直接结算。</w:t>
      </w:r>
    </w:p>
    <w:p>
      <w:pPr>
        <w:pStyle w:val="Heading1"/>
      </w:pPr>
      <w:r>
        <w:t>监督管理与撤网恢复机制</w:t>
      </w:r>
    </w:p>
    <w:p>
      <w:pPr>
        <w:spacing w:lineRule="auto" w:line="324"/>
        <w:ind w:firstLine="420"/>
      </w:pPr>
      <w:r>
        <w:rPr>
          <w:rFonts w:ascii="Calibri" w:hAnsi="Calibri" w:eastAsia="宋体"/>
          <w:b w:val="0"/>
          <w:sz w:val="22"/>
        </w:rPr>
        <w:t>严格落实信用评价制度，将挂网企业在挂网采购中的失信情况纳入医药价格和招采信用评价管理。对提供虚假证明、虚报瞒报价格、蓄意抬价、挂网后撤废、贿赂、无正当理由不配送等行为，一律记录在案并按信用规定处理。产品注册证、生产或经营许可证、营业执照等被吊销的，自吊销之日起取消相应产品或企业所有产品挂网资格，周期内不得以任何形式采购。</w:t>
      </w:r>
    </w:p>
    <w:p>
      <w:pPr>
        <w:spacing w:lineRule="auto" w:line="324"/>
        <w:ind w:firstLine="420"/>
      </w:pPr>
      <w:r>
        <w:rPr>
          <w:rFonts w:ascii="Calibri" w:hAnsi="Calibri" w:eastAsia="宋体"/>
          <w:b w:val="0"/>
          <w:sz w:val="22"/>
        </w:rPr>
        <w:t>全区所有公立医疗机构、军队医疗机构必须参加挂网采购，实行全品种全用量网上采购，坚决制止网下采购。医保部门加强网采率测算与绩效考核，每季度组织统计调度。</w:t>
      </w:r>
    </w:p>
    <w:p>
      <w:pPr>
        <w:spacing w:lineRule="auto" w:line="324"/>
        <w:ind w:firstLine="420"/>
      </w:pPr>
      <w:r>
        <w:rPr>
          <w:rFonts w:ascii="Calibri" w:hAnsi="Calibri" w:eastAsia="宋体"/>
          <w:b w:val="0"/>
          <w:sz w:val="22"/>
        </w:rPr>
        <w:t>撤网管理明确五种情形：不可抗力导致无法生产销售且解除合同；挂网满2年无实际交易且企业主动申请；不配合价格风险处置或失信约束且市场竞争充分供应稳定；药监部门因质量或不良反应要求撤销；其他应撤销情形。撤销挂网后申请恢复的，申报价格不高于原挂网价格且符合当期规定可恢复；高于原挂网价格的，撤网满2年后可予受理。</w:t>
      </w:r>
    </w:p>
    <w:p>
      <w:r>
        <w:rPr>
          <w:rFonts w:ascii="Calibri" w:hAnsi="Calibri" w:eastAsia="宋体"/>
          <w:b/>
          <w:color w:val="C00000"/>
          <w:sz w:val="22"/>
        </w:rPr>
        <w:t>“撤销挂网医用耗材申请恢复挂网的，企业申报价格不高于原挂网价格，且符合当期挂网规定的可恢复挂网。高于原挂网价格的，撤网满2年后可予受理。”</w:t>
      </w:r>
    </w:p>
    <w:p>
      <w:r>
        <w:rPr>
          <w:rFonts w:ascii="Calibri" w:hAnsi="Calibri" w:eastAsia="宋体"/>
          <w:b/>
          <w:sz w:val="20"/>
        </w:rPr>
        <w:t>撤网情形及恢复挂网条件表</w:t>
      </w:r>
    </w:p>
    <w:tbl>
      <w:tblPr>
        <w:tblStyle w:val="TableGrid"/>
        <w:tblW w:type="auto" w:w="0"/>
        <w:jc w:val="center"/>
        <w:tblLayout w:type="autofit"/>
        <w:tblLook w:firstColumn="1" w:firstRow="1" w:lastColumn="0" w:lastRow="0" w:noHBand="0" w:noVBand="1" w:val="04A0"/>
      </w:tblPr>
      <w:tblGrid>
        <w:gridCol w:w="3061"/>
        <w:gridCol w:w="3061"/>
        <w:gridCol w:w="3061"/>
      </w:tblGrid>
      <w:tr>
        <w:trPr>
          <w:tblHeader w:val="true"/>
        </w:trPr>
        <w:tc>
          <w:tcPr>
            <w:tcW w:type="dxa" w:w="3061"/>
            <w:vAlign w:val="center"/>
            <w:shd w:fill="D9EAF7"/>
          </w:tcPr>
          <w:p>
            <w:pPr>
              <w:jc w:val="center"/>
            </w:pPr>
            <w:r>
              <w:rPr>
                <w:rFonts w:ascii="Calibri" w:hAnsi="Calibri" w:eastAsia="宋体"/>
                <w:b/>
                <w:sz w:val="20"/>
              </w:rPr>
              <w:t>撤网情形</w:t>
            </w:r>
          </w:p>
        </w:tc>
        <w:tc>
          <w:tcPr>
            <w:tcW w:type="dxa" w:w="3061"/>
            <w:vAlign w:val="center"/>
            <w:shd w:fill="D9EAF7"/>
          </w:tcPr>
          <w:p>
            <w:pPr>
              <w:jc w:val="center"/>
            </w:pPr>
            <w:r>
              <w:rPr>
                <w:rFonts w:ascii="Calibri" w:hAnsi="Calibri" w:eastAsia="宋体"/>
                <w:b/>
                <w:sz w:val="20"/>
              </w:rPr>
              <w:t>适用条件/说明</w:t>
            </w:r>
          </w:p>
        </w:tc>
        <w:tc>
          <w:tcPr>
            <w:tcW w:type="dxa" w:w="3061"/>
            <w:vAlign w:val="center"/>
            <w:shd w:fill="D9EAF7"/>
          </w:tcPr>
          <w:p>
            <w:pPr>
              <w:jc w:val="center"/>
            </w:pPr>
            <w:r>
              <w:rPr>
                <w:rFonts w:ascii="Calibri" w:hAnsi="Calibri" w:eastAsia="宋体"/>
                <w:b/>
                <w:sz w:val="20"/>
              </w:rPr>
              <w:t>恢复挂网要求</w:t>
            </w:r>
          </w:p>
        </w:tc>
      </w:tr>
      <w:tr>
        <w:tc>
          <w:tcPr>
            <w:tcW w:type="dxa" w:w="3061"/>
            <w:vAlign w:val="center"/>
          </w:tcPr>
          <w:p>
            <w:r>
              <w:rPr>
                <w:rFonts w:ascii="Calibri" w:hAnsi="Calibri" w:eastAsia="宋体"/>
                <w:sz w:val="20"/>
              </w:rPr>
              <w:t>不可抗力停产</w:t>
            </w:r>
          </w:p>
        </w:tc>
        <w:tc>
          <w:tcPr>
            <w:tcW w:type="dxa" w:w="3061"/>
            <w:vAlign w:val="center"/>
          </w:tcPr>
          <w:p>
            <w:r>
              <w:rPr>
                <w:rFonts w:ascii="Calibri" w:hAnsi="Calibri" w:eastAsia="宋体"/>
                <w:sz w:val="20"/>
              </w:rPr>
              <w:t>企业倒闭、地址变更需重新认证、产线改造关停等，出具证明并解除合同</w:t>
            </w:r>
          </w:p>
        </w:tc>
        <w:tc>
          <w:tcPr>
            <w:tcW w:type="dxa" w:w="3061"/>
            <w:vAlign w:val="center"/>
          </w:tcPr>
          <w:p>
            <w:r>
              <w:rPr>
                <w:rFonts w:ascii="Calibri" w:hAnsi="Calibri" w:eastAsia="宋体"/>
                <w:sz w:val="20"/>
              </w:rPr>
              <w:t>符合当期规定可恢复</w:t>
            </w:r>
          </w:p>
        </w:tc>
      </w:tr>
      <w:tr>
        <w:tc>
          <w:tcPr>
            <w:tcW w:type="dxa" w:w="3061"/>
            <w:vAlign w:val="center"/>
          </w:tcPr>
          <w:p>
            <w:r>
              <w:rPr>
                <w:rFonts w:ascii="Calibri" w:hAnsi="Calibri" w:eastAsia="宋体"/>
                <w:sz w:val="20"/>
              </w:rPr>
              <w:t>长期无交易</w:t>
            </w:r>
          </w:p>
        </w:tc>
        <w:tc>
          <w:tcPr>
            <w:tcW w:type="dxa" w:w="3061"/>
            <w:vAlign w:val="center"/>
          </w:tcPr>
          <w:p>
            <w:r>
              <w:rPr>
                <w:rFonts w:ascii="Calibri" w:hAnsi="Calibri" w:eastAsia="宋体"/>
                <w:sz w:val="20"/>
              </w:rPr>
              <w:t>平台挂网满2年无实际采购交易记录，企业主动申请</w:t>
            </w:r>
          </w:p>
        </w:tc>
        <w:tc>
          <w:tcPr>
            <w:tcW w:type="dxa" w:w="3061"/>
            <w:vAlign w:val="center"/>
          </w:tcPr>
          <w:p>
            <w:r>
              <w:rPr>
                <w:rFonts w:ascii="Calibri" w:hAnsi="Calibri" w:eastAsia="宋体"/>
                <w:sz w:val="20"/>
              </w:rPr>
              <w:t>符合当期规定可恢复</w:t>
            </w:r>
          </w:p>
        </w:tc>
      </w:tr>
      <w:tr>
        <w:tc>
          <w:tcPr>
            <w:tcW w:type="dxa" w:w="3061"/>
            <w:vAlign w:val="center"/>
          </w:tcPr>
          <w:p>
            <w:r>
              <w:rPr>
                <w:rFonts w:ascii="Calibri" w:hAnsi="Calibri" w:eastAsia="宋体"/>
                <w:sz w:val="20"/>
              </w:rPr>
              <w:t>不配合监管</w:t>
            </w:r>
          </w:p>
        </w:tc>
        <w:tc>
          <w:tcPr>
            <w:tcW w:type="dxa" w:w="3061"/>
            <w:vAlign w:val="center"/>
          </w:tcPr>
          <w:p>
            <w:r>
              <w:rPr>
                <w:rFonts w:ascii="Calibri" w:hAnsi="Calibri" w:eastAsia="宋体"/>
                <w:sz w:val="20"/>
              </w:rPr>
              <w:t>不配合价格风险处置、失信约束，且市场竞争充分、供应稳定</w:t>
            </w:r>
          </w:p>
        </w:tc>
        <w:tc>
          <w:tcPr>
            <w:tcW w:type="dxa" w:w="3061"/>
            <w:vAlign w:val="center"/>
          </w:tcPr>
          <w:p>
            <w:r>
              <w:rPr>
                <w:rFonts w:ascii="Calibri" w:hAnsi="Calibri" w:eastAsia="宋体"/>
                <w:sz w:val="20"/>
              </w:rPr>
              <w:t>符合当期规定可恢复</w:t>
            </w:r>
          </w:p>
        </w:tc>
      </w:tr>
      <w:tr>
        <w:tc>
          <w:tcPr>
            <w:tcW w:type="dxa" w:w="3061"/>
            <w:vAlign w:val="center"/>
          </w:tcPr>
          <w:p>
            <w:r>
              <w:rPr>
                <w:rFonts w:ascii="Calibri" w:hAnsi="Calibri" w:eastAsia="宋体"/>
                <w:sz w:val="20"/>
              </w:rPr>
              <w:t>质量安全问题</w:t>
            </w:r>
          </w:p>
        </w:tc>
        <w:tc>
          <w:tcPr>
            <w:tcW w:type="dxa" w:w="3061"/>
            <w:vAlign w:val="center"/>
          </w:tcPr>
          <w:p>
            <w:r>
              <w:rPr>
                <w:rFonts w:ascii="Calibri" w:hAnsi="Calibri" w:eastAsia="宋体"/>
                <w:sz w:val="20"/>
              </w:rPr>
              <w:t>药监部门因质量问题、不良反应要求不再销售或建议撤销</w:t>
            </w:r>
          </w:p>
        </w:tc>
        <w:tc>
          <w:tcPr>
            <w:tcW w:type="dxa" w:w="3061"/>
            <w:vAlign w:val="center"/>
          </w:tcPr>
          <w:p>
            <w:r>
              <w:rPr>
                <w:rFonts w:ascii="Calibri" w:hAnsi="Calibri" w:eastAsia="宋体"/>
                <w:sz w:val="20"/>
              </w:rPr>
              <w:t>符合当期规定可恢复</w:t>
            </w:r>
          </w:p>
        </w:tc>
      </w:tr>
      <w:tr>
        <w:tc>
          <w:tcPr>
            <w:tcW w:type="dxa" w:w="3061"/>
            <w:vAlign w:val="center"/>
          </w:tcPr>
          <w:p>
            <w:r>
              <w:rPr>
                <w:rFonts w:ascii="Calibri" w:hAnsi="Calibri" w:eastAsia="宋体"/>
                <w:sz w:val="20"/>
              </w:rPr>
              <w:t>价格调整恢复</w:t>
            </w:r>
          </w:p>
        </w:tc>
        <w:tc>
          <w:tcPr>
            <w:tcW w:type="dxa" w:w="3061"/>
            <w:vAlign w:val="center"/>
          </w:tcPr>
          <w:p>
            <w:r>
              <w:rPr>
                <w:rFonts w:ascii="Calibri" w:hAnsi="Calibri" w:eastAsia="宋体"/>
                <w:sz w:val="20"/>
              </w:rPr>
              <w:t>撤销后申请恢复挂网</w:t>
            </w:r>
          </w:p>
        </w:tc>
        <w:tc>
          <w:tcPr>
            <w:tcW w:type="dxa" w:w="3061"/>
            <w:vAlign w:val="center"/>
          </w:tcPr>
          <w:p>
            <w:r>
              <w:rPr>
                <w:rFonts w:ascii="Calibri" w:hAnsi="Calibri" w:eastAsia="宋体"/>
                <w:sz w:val="20"/>
              </w:rPr>
              <w:t>申报价不高于原价可恢复；高于原价需撤网满2年</w:t>
            </w:r>
          </w:p>
        </w:tc>
      </w:tr>
    </w:tbl>
    <w:p/>
    <w:p>
      <w:pPr>
        <w:pStyle w:val="Heading1"/>
      </w:pPr>
      <w:r>
        <w:t>企业关注点</w:t>
      </w:r>
    </w:p>
    <w:p>
      <w:pPr>
        <w:spacing w:lineRule="auto" w:line="324"/>
        <w:ind w:firstLine="420"/>
      </w:pPr>
      <w:r>
        <w:rPr>
          <w:rFonts w:ascii="Calibri" w:hAnsi="Calibri" w:eastAsia="宋体"/>
          <w:b w:val="0"/>
          <w:sz w:val="22"/>
        </w:rPr>
        <w:t>价格申报需满足“至少3省挂网价”门槛，且每月前5个工作日为固定申报窗口，企业需提前梳理全国省级挂网数据。</w:t>
      </w:r>
    </w:p>
    <w:p>
      <w:pPr>
        <w:spacing w:lineRule="auto" w:line="324"/>
        <w:ind w:firstLine="420"/>
      </w:pPr>
      <w:r>
        <w:rPr>
          <w:rFonts w:ascii="Calibri" w:hAnsi="Calibri" w:eastAsia="宋体"/>
          <w:b w:val="0"/>
          <w:sz w:val="22"/>
        </w:rPr>
        <w:t>线上议价设置明确响应时限（3天/5天），超期未响应可能触发平台默认议价价或流程自动取消，企业需安排专人跟进平台消息。</w:t>
      </w:r>
    </w:p>
    <w:p>
      <w:pPr>
        <w:spacing w:lineRule="auto" w:line="324"/>
        <w:ind w:firstLine="420"/>
      </w:pPr>
      <w:r>
        <w:rPr>
          <w:rFonts w:ascii="Calibri" w:hAnsi="Calibri" w:eastAsia="宋体"/>
          <w:b w:val="0"/>
          <w:sz w:val="22"/>
        </w:rPr>
        <w:t>价格联动要求严格，新最低价执行起30日内必须申报，否则面临暂停挂网1年处罚；集采非中选产品同样适用价格联动监管。</w:t>
      </w:r>
    </w:p>
    <w:p>
      <w:pPr>
        <w:spacing w:lineRule="auto" w:line="324"/>
        <w:ind w:firstLine="420"/>
      </w:pPr>
      <w:r>
        <w:rPr>
          <w:rFonts w:ascii="Calibri" w:hAnsi="Calibri" w:eastAsia="宋体"/>
          <w:b w:val="0"/>
          <w:sz w:val="22"/>
        </w:rPr>
        <w:t>议价结果低于挂网价将单独建库管理但不替代挂网价，企业需注意实际成交价与挂网价的差异管理，避免触发“三色监管”中的红黄区间预警。</w:t>
      </w:r>
    </w:p>
    <w:p>
      <w:pPr>
        <w:spacing w:lineRule="auto" w:line="324"/>
        <w:ind w:firstLine="420"/>
      </w:pPr>
      <w:r>
        <w:rPr>
          <w:rFonts w:ascii="Calibri" w:hAnsi="Calibri" w:eastAsia="宋体"/>
          <w:b w:val="0"/>
          <w:sz w:val="22"/>
        </w:rPr>
        <w:t>撤网恢复机制对涨价产品设置2年冷却期，企业申报撤网或调整价格时需综合评估后续挂网可行性。</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2026-04-07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《自治区公立医疗机构医用耗材挂网采购实施方案（试行）（征求意见稿）》</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