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广东省麻醉管路等三类医用耗材带量联动采购规则分析</w:t>
      </w:r>
    </w:p>
    <w:p>
      <w:pPr>
        <w:spacing w:lineRule="auto" w:line="324"/>
        <w:ind w:firstLine="420"/>
      </w:pPr>
      <w:r>
        <w:rPr>
          <w:rFonts w:ascii="Calibri" w:hAnsi="Calibri" w:eastAsia="宋体"/>
          <w:b w:val="0"/>
          <w:sz w:val="22"/>
        </w:rPr>
        <w:t>2026年5月31日，深圳公共资源交易中心发布《广东省麻醉管路等三类医用耗材带量联动采购文件》（采购文件编号：SZGGZYHCDL202601），正式启动广东省麻醉管路、一次性使用有创血压传感器及医用高分子夹板三类医用耗材的带量联动采购工作。本次采购主体覆盖广东省公立医疗机构（含驻粤军队医疗机构），医保定点社会办医疗机构在承诺遵守相关规定的前提下可自愿参加。</w:t>
      </w:r>
    </w:p>
    <w:p>
      <w:pPr>
        <w:spacing w:lineRule="auto" w:line="324"/>
        <w:ind w:firstLine="420"/>
      </w:pPr>
      <w:r>
        <w:rPr>
          <w:rFonts w:ascii="Calibri" w:hAnsi="Calibri" w:eastAsia="宋体"/>
          <w:b w:val="0"/>
          <w:sz w:val="22"/>
        </w:rPr>
        <w:t>本次带量联动采购周期为两年，自采购结果执行之日起计算，采购周期到期后可视实际情况延长。采购协议每年一签，医疗机构须优先采购中选产品，并确保中选产品总使用量占同采购品种总使用量的比例不低于70%。文件明确了各品种的分类标准、最高有效申报价/参考价、报价单元设置、拟中选规则以及严格的价格联动与非中选产品管理机制。</w:t>
      </w:r>
    </w:p>
    <w:p>
      <w:pPr>
        <w:pStyle w:val="Heading1"/>
      </w:pPr>
      <w:r>
        <w:t>一、采购品种范围与价格门槛</w:t>
      </w:r>
    </w:p>
    <w:p>
      <w:pPr>
        <w:spacing w:lineRule="auto" w:line="324"/>
        <w:ind w:firstLine="420"/>
      </w:pPr>
      <w:r>
        <w:rPr>
          <w:rFonts w:ascii="Calibri" w:hAnsi="Calibri" w:eastAsia="宋体"/>
          <w:b w:val="0"/>
          <w:sz w:val="22"/>
        </w:rPr>
        <w:t>本次带量联动采购品种明确为麻醉管路、一次性使用有创血压传感器、医用高分子夹板三类。麻醉管路通常由塑料或硅橡胶材料制成，用于麻醉机与面罩或气管插管等器械之间的气路连接，包含但不限于国家医保耗材分类代码前10位为C141004247和C140202000的产品，且须含管路（Y型接头）、储气囊等组件。一次性使用有创血压传感器通常由血压传感器和血压传输管路组成，包含但不限于国家医保耗材分类代码前10位为C141611004的产品，但带密闭采血装置及同时具备心排量监测功能的产品不纳入本次采购范围。医用高分子夹板通常采用玻璃纤维、聚酯纤维等高分子材料制成，用于骨折或软组织等损伤的外固定，包含但不限于国家医保耗材分类代码前10位为C031609080的产品，可重复塑形的产品不纳入采购范围。</w:t>
      </w:r>
    </w:p>
    <w:p>
      <w:pPr>
        <w:spacing w:lineRule="auto" w:line="324"/>
        <w:ind w:firstLine="420"/>
      </w:pPr>
      <w:r>
        <w:rPr>
          <w:rFonts w:ascii="Calibri" w:hAnsi="Calibri" w:eastAsia="宋体"/>
          <w:b w:val="0"/>
          <w:sz w:val="22"/>
        </w:rPr>
        <w:t>文件对麻醉管路和一次性使用有创血压传感器设定了最高有效申报价（P0），对医用高分子夹板设定了参考价。企业申报价格需严格遵循对应的价格门槛要求。</w:t>
      </w:r>
    </w:p>
    <w:p>
      <w:r>
        <w:rPr>
          <w:rFonts w:ascii="Calibri" w:hAnsi="Calibri" w:eastAsia="宋体"/>
          <w:b/>
          <w:color w:val="C00000"/>
          <w:sz w:val="22"/>
        </w:rPr>
        <w:t>麻醉管路和一次性使用有创血压传感器的最高有效申报价（P0）按类别设定，医用高分子夹板采用参考价管理。</w:t>
      </w:r>
    </w:p>
    <w:p>
      <w:r>
        <w:rPr>
          <w:rFonts w:ascii="Calibri" w:hAnsi="Calibri" w:eastAsia="宋体"/>
          <w:b/>
          <w:sz w:val="20"/>
        </w:rPr>
        <w:t>采购品种分类及价格门槛表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最高有效申报价（P0）/参考价</w:t>
            </w:r>
          </w:p>
        </w:tc>
        <w:tc>
          <w:tcPr>
            <w:tcW w:type="dxa" w:w="1837"/>
            <w:vAlign w:val="center"/>
            <w:shd w:fill="D9EAF7"/>
          </w:tcPr>
          <w:p>
            <w:pPr>
              <w:jc w:val="center"/>
            </w:pPr>
            <w:r>
              <w:rPr>
                <w:rFonts w:ascii="Calibri" w:hAnsi="Calibri" w:eastAsia="宋体"/>
                <w:b/>
                <w:sz w:val="20"/>
              </w:rPr>
              <w:t>备注</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0.04元/平方厘米（cm²）</w:t>
            </w:r>
          </w:p>
        </w:tc>
        <w:tc>
          <w:tcPr>
            <w:tcW w:type="dxa" w:w="1837"/>
            <w:vAlign w:val="center"/>
          </w:tcPr>
          <w:p>
            <w:r>
              <w:rPr>
                <w:rFonts w:ascii="Calibri" w:hAnsi="Calibri" w:eastAsia="宋体"/>
                <w:sz w:val="20"/>
              </w:rPr>
              <w:t>参考价</w:t>
            </w:r>
          </w:p>
        </w:tc>
      </w:tr>
    </w:tbl>
    <w:p/>
    <w:p>
      <w:pPr>
        <w:pStyle w:val="Heading1"/>
      </w:pPr>
      <w:r>
        <w:t>二、企业报价要求与有效报价条件</w:t>
      </w:r>
    </w:p>
    <w:p>
      <w:pPr>
        <w:spacing w:lineRule="auto" w:line="324"/>
        <w:ind w:firstLine="420"/>
      </w:pPr>
      <w:r>
        <w:rPr>
          <w:rFonts w:ascii="Calibri" w:hAnsi="Calibri" w:eastAsia="宋体"/>
          <w:b w:val="0"/>
          <w:sz w:val="22"/>
        </w:rPr>
        <w:t>本次采购采用线上报价方式，申报企业需在规定时间内登录深圳医用耗材阳光交易和监管平台完成产品信息维护及报价提交。申报价格为申报企业的实际供应价，应包含产品价格、税费、配送费用和伴随服务等所有费用。</w:t>
      </w:r>
    </w:p>
    <w:p>
      <w:pPr>
        <w:spacing w:lineRule="auto" w:line="324"/>
        <w:ind w:firstLine="420"/>
      </w:pPr>
      <w:r>
        <w:rPr>
          <w:rFonts w:ascii="Calibri" w:hAnsi="Calibri" w:eastAsia="宋体"/>
          <w:b w:val="0"/>
          <w:sz w:val="22"/>
        </w:rPr>
        <w:t>针对不同品种，文件设定了差异化的报价单元与有效报价条件。麻醉管路和一次性使用有创血压传感器以同采购品种同类别同一注册证作为一个报价单元，每一个报价单元仅允许填报唯一价格，报价单位为“套”，申报价格最多保留至小数点后两位（不四舍五入）。申报价格P不高于P0的报价单元，视为有效报价单元。</w:t>
      </w:r>
    </w:p>
    <w:p>
      <w:pPr>
        <w:spacing w:lineRule="auto" w:line="324"/>
        <w:ind w:firstLine="420"/>
      </w:pPr>
      <w:r>
        <w:rPr>
          <w:rFonts w:ascii="Calibri" w:hAnsi="Calibri" w:eastAsia="宋体"/>
          <w:b w:val="0"/>
          <w:sz w:val="22"/>
        </w:rPr>
        <w:t>医用高分子夹板的报价单元设置区分是否具备带量最低价。有带量最低价的产品以申报产品作为一个报价单元，报价单位为片/袋；无带量最低价的产品以同采购品种同一申报企业作为一个报价单元，报价单位为平方厘米。每一个报价单元仅允许申报一个价格，申报价格最多保留至小数点后两位（不四舍五入）。有带量最低价的报价单元，其申报价格P不高于其自身非带量最低价的，视为有效报价单元；无带量最低价的报价单元，其申报价格P不高于其自身非带量最低价（按平方厘米折算）的，视为有效报价单元。</w:t>
      </w:r>
    </w:p>
    <w:p>
      <w:r>
        <w:rPr>
          <w:rFonts w:ascii="Calibri" w:hAnsi="Calibri" w:eastAsia="宋体"/>
          <w:b/>
          <w:color w:val="C00000"/>
          <w:sz w:val="22"/>
        </w:rPr>
        <w:t>规定时间内申报企业未按要求申报价格或者申报价格错误的，申报价格提交后不得补报或修改。</w:t>
      </w:r>
    </w:p>
    <w:p>
      <w:r>
        <w:rPr>
          <w:rFonts w:ascii="Calibri" w:hAnsi="Calibri" w:eastAsia="宋体"/>
          <w:b/>
          <w:sz w:val="20"/>
        </w:rPr>
        <w:t>报价单元与有效报价条件表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报价单元划分</w:t>
            </w:r>
          </w:p>
        </w:tc>
        <w:tc>
          <w:tcPr>
            <w:tcW w:type="dxa" w:w="2296"/>
            <w:vAlign w:val="center"/>
            <w:shd w:fill="D9EAF7"/>
          </w:tcPr>
          <w:p>
            <w:pPr>
              <w:jc w:val="center"/>
            </w:pPr>
            <w:r>
              <w:rPr>
                <w:rFonts w:ascii="Calibri" w:hAnsi="Calibri" w:eastAsia="宋体"/>
                <w:b/>
                <w:sz w:val="20"/>
              </w:rPr>
              <w:t>报价单位</w:t>
            </w:r>
          </w:p>
        </w:tc>
        <w:tc>
          <w:tcPr>
            <w:tcW w:type="dxa" w:w="2296"/>
            <w:vAlign w:val="center"/>
            <w:shd w:fill="D9EAF7"/>
          </w:tcPr>
          <w:p>
            <w:pPr>
              <w:jc w:val="center"/>
            </w:pPr>
            <w:r>
              <w:rPr>
                <w:rFonts w:ascii="Calibri" w:hAnsi="Calibri" w:eastAsia="宋体"/>
                <w:b/>
                <w:sz w:val="20"/>
              </w:rPr>
              <w:t>有效报价条件</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同采购品种同类别同一注册证</w:t>
            </w:r>
          </w:p>
        </w:tc>
        <w:tc>
          <w:tcPr>
            <w:tcW w:type="dxa" w:w="2296"/>
            <w:vAlign w:val="center"/>
          </w:tcPr>
          <w:p>
            <w:r>
              <w:rPr>
                <w:rFonts w:ascii="Calibri" w:hAnsi="Calibri" w:eastAsia="宋体"/>
                <w:sz w:val="20"/>
              </w:rPr>
              <w:t>套</w:t>
            </w:r>
          </w:p>
        </w:tc>
        <w:tc>
          <w:tcPr>
            <w:tcW w:type="dxa" w:w="2296"/>
            <w:vAlign w:val="center"/>
          </w:tcPr>
          <w:p>
            <w:r>
              <w:rPr>
                <w:rFonts w:ascii="Calibri" w:hAnsi="Calibri" w:eastAsia="宋体"/>
                <w:sz w:val="20"/>
              </w:rPr>
              <w:t>申报价格P ≤ 最高有效申报价（P0）</w:t>
            </w:r>
          </w:p>
        </w:tc>
      </w:tr>
      <w:tr>
        <w:tc>
          <w:tcPr>
            <w:tcW w:type="dxa" w:w="2296"/>
            <w:vAlign w:val="center"/>
          </w:tcPr>
          <w:p>
            <w:r>
              <w:rPr>
                <w:rFonts w:ascii="Calibri" w:hAnsi="Calibri" w:eastAsia="宋体"/>
                <w:sz w:val="20"/>
              </w:rPr>
              <w:t>医用高分子夹板（有带量最低价）</w:t>
            </w:r>
          </w:p>
        </w:tc>
        <w:tc>
          <w:tcPr>
            <w:tcW w:type="dxa" w:w="2296"/>
            <w:vAlign w:val="center"/>
          </w:tcPr>
          <w:p>
            <w:r>
              <w:rPr>
                <w:rFonts w:ascii="Calibri" w:hAnsi="Calibri" w:eastAsia="宋体"/>
                <w:sz w:val="20"/>
              </w:rPr>
              <w:t>申报产品</w:t>
            </w:r>
          </w:p>
        </w:tc>
        <w:tc>
          <w:tcPr>
            <w:tcW w:type="dxa" w:w="2296"/>
            <w:vAlign w:val="center"/>
          </w:tcPr>
          <w:p>
            <w:r>
              <w:rPr>
                <w:rFonts w:ascii="Calibri" w:hAnsi="Calibri" w:eastAsia="宋体"/>
                <w:sz w:val="20"/>
              </w:rPr>
              <w:t>片/袋</w:t>
            </w:r>
          </w:p>
        </w:tc>
        <w:tc>
          <w:tcPr>
            <w:tcW w:type="dxa" w:w="2296"/>
            <w:vAlign w:val="center"/>
          </w:tcPr>
          <w:p>
            <w:r>
              <w:rPr>
                <w:rFonts w:ascii="Calibri" w:hAnsi="Calibri" w:eastAsia="宋体"/>
                <w:sz w:val="20"/>
              </w:rPr>
              <w:t>申报价格P ≤ 自身非带量最低价</w:t>
            </w:r>
          </w:p>
        </w:tc>
      </w:tr>
      <w:tr>
        <w:tc>
          <w:tcPr>
            <w:tcW w:type="dxa" w:w="2296"/>
            <w:vAlign w:val="center"/>
          </w:tcPr>
          <w:p>
            <w:r>
              <w:rPr>
                <w:rFonts w:ascii="Calibri" w:hAnsi="Calibri" w:eastAsia="宋体"/>
                <w:sz w:val="20"/>
              </w:rPr>
              <w:t>医用高分子夹板（无带量最低价）</w:t>
            </w:r>
          </w:p>
        </w:tc>
        <w:tc>
          <w:tcPr>
            <w:tcW w:type="dxa" w:w="2296"/>
            <w:vAlign w:val="center"/>
          </w:tcPr>
          <w:p>
            <w:r>
              <w:rPr>
                <w:rFonts w:ascii="Calibri" w:hAnsi="Calibri" w:eastAsia="宋体"/>
                <w:sz w:val="20"/>
              </w:rPr>
              <w:t>同采购品种同一申报企业</w:t>
            </w:r>
          </w:p>
        </w:tc>
        <w:tc>
          <w:tcPr>
            <w:tcW w:type="dxa" w:w="2296"/>
            <w:vAlign w:val="center"/>
          </w:tcPr>
          <w:p>
            <w:r>
              <w:rPr>
                <w:rFonts w:ascii="Calibri" w:hAnsi="Calibri" w:eastAsia="宋体"/>
                <w:sz w:val="20"/>
              </w:rPr>
              <w:t>平方厘米</w:t>
            </w:r>
          </w:p>
        </w:tc>
        <w:tc>
          <w:tcPr>
            <w:tcW w:type="dxa" w:w="2296"/>
            <w:vAlign w:val="center"/>
          </w:tcPr>
          <w:p>
            <w:r>
              <w:rPr>
                <w:rFonts w:ascii="Calibri" w:hAnsi="Calibri" w:eastAsia="宋体"/>
                <w:sz w:val="20"/>
              </w:rPr>
              <w:t>申报价格P ≤ 自身非带量最低价（按平方厘米折算）</w:t>
            </w:r>
          </w:p>
        </w:tc>
      </w:tr>
    </w:tbl>
    <w:p/>
    <w:p>
      <w:pPr>
        <w:pStyle w:val="Heading1"/>
      </w:pPr>
      <w:r>
        <w:t>三、拟中选产品确定规则</w:t>
      </w:r>
    </w:p>
    <w:p>
      <w:pPr>
        <w:spacing w:lineRule="auto" w:line="324"/>
        <w:ind w:firstLine="420"/>
      </w:pPr>
      <w:r>
        <w:rPr>
          <w:rFonts w:ascii="Calibri" w:hAnsi="Calibri" w:eastAsia="宋体"/>
          <w:b w:val="0"/>
          <w:sz w:val="22"/>
        </w:rPr>
        <w:t>拟中选资格的确定严格依据报价与历史价格数据的比对结果。麻醉管路和一次性使用有创血压传感器方面，有带量最低价的报价单元需满足申报价格P不高于P0、自身带量最低价和自身非带量最低价三者低值；无带量最低价的报价单元需满足申报价格P不高于P0、自身非带量最低价和同采购品种同类别所有报价单元带量最低价的中位数三者低值。拟中选报价单元对应的所有申报产品均为拟中选产品，其申报价格为所有拟中选产品的拟中选价格。</w:t>
      </w:r>
    </w:p>
    <w:p>
      <w:pPr>
        <w:spacing w:lineRule="auto" w:line="324"/>
        <w:ind w:firstLine="420"/>
      </w:pPr>
      <w:r>
        <w:rPr>
          <w:rFonts w:ascii="Calibri" w:hAnsi="Calibri" w:eastAsia="宋体"/>
          <w:b w:val="0"/>
          <w:sz w:val="22"/>
        </w:rPr>
        <w:t>医用高分子夹板方面，有带量最低价的报价单元需满足申报价格P不高于自身带量最低价和自身非带量最低价两者低值；无带量最低价的报价单元需满足申报价格P不高于自身非带量最低价（按平方厘米折算）和参考价两者低值。有带量最低价的拟中选报价单元所对应的申报产品为拟中选产品，其申报价格为拟中选价格。无带量最低价的拟中选报价单元对应的所有申报产品均为拟中选产品，其申报价格与拟中选产品面积的乘积为该拟中选产品的拟中选价格。文件特别明确，拟中选价格高于128元的拟中选产品，企业须接受价格纠偏，不接受价格纠偏的将取消对应产品的拟中选资格。</w:t>
      </w:r>
    </w:p>
    <w:p>
      <w:r>
        <w:rPr>
          <w:rFonts w:ascii="Calibri" w:hAnsi="Calibri" w:eastAsia="宋体"/>
          <w:b/>
          <w:color w:val="C00000"/>
          <w:sz w:val="22"/>
        </w:rPr>
        <w:t>拟中选价格高于128元的医用高分子夹板拟中选产品，企业须接受价格纠偏，不接受的取消对应产品的拟中选资格。</w:t>
      </w:r>
    </w:p>
    <w:p>
      <w:r>
        <w:rPr>
          <w:rFonts w:ascii="Calibri" w:hAnsi="Calibri" w:eastAsia="宋体"/>
          <w:b/>
          <w:sz w:val="20"/>
        </w:rPr>
        <w:t>拟中选产品确定规则表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情形</w:t>
            </w:r>
          </w:p>
        </w:tc>
        <w:tc>
          <w:tcPr>
            <w:tcW w:type="dxa" w:w="2296"/>
            <w:vAlign w:val="center"/>
            <w:shd w:fill="D9EAF7"/>
          </w:tcPr>
          <w:p>
            <w:pPr>
              <w:jc w:val="center"/>
            </w:pPr>
            <w:r>
              <w:rPr>
                <w:rFonts w:ascii="Calibri" w:hAnsi="Calibri" w:eastAsia="宋体"/>
                <w:b/>
                <w:sz w:val="20"/>
              </w:rPr>
              <w:t>拟中选条件</w:t>
            </w:r>
          </w:p>
        </w:tc>
        <w:tc>
          <w:tcPr>
            <w:tcW w:type="dxa" w:w="2296"/>
            <w:vAlign w:val="center"/>
            <w:shd w:fill="D9EAF7"/>
          </w:tcPr>
          <w:p>
            <w:pPr>
              <w:jc w:val="center"/>
            </w:pPr>
            <w:r>
              <w:rPr>
                <w:rFonts w:ascii="Calibri" w:hAnsi="Calibri" w:eastAsia="宋体"/>
                <w:b/>
                <w:sz w:val="20"/>
              </w:rPr>
              <w:t>拟中选价格确定方式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 ≤ P0、自身带量最低价、自身非带量最低价三者低值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 ≤ P0、自身非带量最低价、同采购品种同类别所有报价单元带量最低价的中位数三者低值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 ≤ 自身带量最低价、自身非带量最低价两者低值</w:t>
            </w:r>
          </w:p>
        </w:tc>
        <w:tc>
          <w:tcPr>
            <w:tcW w:type="dxa" w:w="2296"/>
            <w:vAlign w:val="center"/>
          </w:tcPr>
          <w:p>
            <w:r>
              <w:rPr>
                <w:rFonts w:ascii="Calibri" w:hAnsi="Calibri" w:eastAsia="宋体"/>
                <w:sz w:val="20"/>
              </w:rPr>
              <w:t>申报价格即为拟中选价格</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 ≤ 自身非带量最低价（折算）、参考价两者低值</w:t>
            </w:r>
          </w:p>
        </w:tc>
        <w:tc>
          <w:tcPr>
            <w:tcW w:type="dxa" w:w="2296"/>
            <w:vAlign w:val="center"/>
          </w:tcPr>
          <w:p>
            <w:r>
              <w:rPr>
                <w:rFonts w:ascii="Calibri" w:hAnsi="Calibri" w:eastAsia="宋体"/>
                <w:sz w:val="20"/>
              </w:rPr>
              <w:t>申报价格与拟中选产品面积的乘积为拟中选价格（拟中选价格＞128元须接受纠偏）</w:t>
            </w:r>
          </w:p>
        </w:tc>
      </w:tr>
    </w:tbl>
    <w:p/>
    <w:p>
      <w:pPr>
        <w:pStyle w:val="Heading1"/>
      </w:pPr>
      <w:r>
        <w:t>四、采购执行与协议采购量安排</w:t>
      </w:r>
    </w:p>
    <w:p>
      <w:pPr>
        <w:spacing w:lineRule="auto" w:line="324"/>
        <w:ind w:firstLine="420"/>
      </w:pPr>
      <w:r>
        <w:rPr>
          <w:rFonts w:ascii="Calibri" w:hAnsi="Calibri" w:eastAsia="宋体"/>
          <w:b w:val="0"/>
          <w:sz w:val="22"/>
        </w:rPr>
        <w:t>中选结果公布后，将组织广东省医疗机构参考历史用量和临床实际，在广东省招采子系统以同采购品种同类别同一注册证为单位进行报量。原则上各医疗机构总采购需求量不得少于其上一年度该品种总采购量的80%。审核通过后的医疗机构总采购需求量即为其首年协议采购量。</w:t>
      </w:r>
    </w:p>
    <w:p>
      <w:pPr>
        <w:spacing w:lineRule="auto" w:line="324"/>
        <w:ind w:firstLine="420"/>
      </w:pPr>
      <w:r>
        <w:rPr>
          <w:rFonts w:ascii="Calibri" w:hAnsi="Calibri" w:eastAsia="宋体"/>
          <w:b w:val="0"/>
          <w:sz w:val="22"/>
        </w:rPr>
        <w:t>采购周期内，医疗机构应确保完成约定采购量，并按照以季度填报的采购计划完成序时进度任务。超出协议采购量部分，中选企业仍需按中选价格进行供应，直至采购周期届满。中选企业是保障中选产品供应的第一责任人，对本企业中选产品的质量和配送服务负主体责任。采购周期内，如中选产品注册证更新，中选资格及价格均维持不变。若中选产品的境外医疗器械注册人变更我国境内企业法人协助其履行相应法律义务的，应向深圳交易中心递交更换委托代理企业的声明和其原申报企业的知情同意书。</w:t>
      </w:r>
    </w:p>
    <w:p>
      <w:r>
        <w:rPr>
          <w:rFonts w:ascii="Calibri" w:hAnsi="Calibri" w:eastAsia="宋体"/>
          <w:b/>
          <w:color w:val="C00000"/>
          <w:sz w:val="22"/>
        </w:rPr>
        <w:t>原则上各医疗机构总采购需求量不得少于其上一年度该品种总采购量的80%。</w:t>
      </w:r>
    </w:p>
    <w:p>
      <w:pPr>
        <w:pStyle w:val="Heading1"/>
      </w:pPr>
      <w:r>
        <w:t>五、价格联动与非中选产品管理</w:t>
      </w:r>
    </w:p>
    <w:p>
      <w:pPr>
        <w:spacing w:lineRule="auto" w:line="324"/>
        <w:ind w:firstLine="420"/>
      </w:pPr>
      <w:r>
        <w:rPr>
          <w:rFonts w:ascii="Calibri" w:hAnsi="Calibri" w:eastAsia="宋体"/>
          <w:b w:val="0"/>
          <w:sz w:val="22"/>
        </w:rPr>
        <w:t>采购周期内，若同一中选产品在其他省级（含省际联盟，如三明联盟）带量采购中的中选价格低于本次带量联动采购的中选价格，中选企业须接受价格联动，并应在新低中选价格公布之日起20个工作日内向深圳交易中心申报。麻醉管路、一次性使用有创血压传感器中选产品以同类别同注册证为单位进行价格联动，医用高分子夹板中选产品以同注册证同规格型号为单位进行价格联动。生效中的相关采购协议须按要求调整为新的中选价格继续执行。若不接受价格联动的，后续采购期内将视为其放弃对应产品的中选资格。</w:t>
      </w:r>
    </w:p>
    <w:p>
      <w:pPr>
        <w:spacing w:lineRule="auto" w:line="324"/>
        <w:ind w:firstLine="420"/>
      </w:pPr>
      <w:r>
        <w:rPr>
          <w:rFonts w:ascii="Calibri" w:hAnsi="Calibri" w:eastAsia="宋体"/>
          <w:b w:val="0"/>
          <w:sz w:val="22"/>
        </w:rPr>
        <w:t>非中选产品管理方面，文件进行了细致分类。非中选产品申报价格仅符合广东省挂网要求的，可以非中选身份在广东省挂网交易。符合特定价格条件的，可作为中选产品挂网采购。对于麻醉管路和一次性使用有创血压传感器，属于已中选注册证的非中选产品，申报价格不高于自身带量最低价、自身非带量最低价和同采购品种同类别同注册证中选价格三者低值且接受同采购品种同类别同注册证所有中选产品按就低原则调平价格的，可作为中选产品挂网并共享该采购年度内同采购品种同类别同注册证的协议采购量；不属于已中选注册证的非中选产品，申报价格不高于同采购品种同类别所有中选价格的中位数、自身带量最低价和自身非带量最低价三者低值的，可作为中选产品挂网，但该采购年度内无协议采购量。对于医用高分子夹板，非中选产品申报价格（按平方厘米申报）不高于其自身带量最低价与自身非带量最低价两者低值（按平方厘米折算），且不高于参考价的，可作为中选产品挂网，但该采购年度内无协议采购量。不符合上述要求的非中选产品，暂不予挂网。</w:t>
      </w:r>
    </w:p>
    <w:p>
      <w:r>
        <w:rPr>
          <w:rFonts w:ascii="Calibri" w:hAnsi="Calibri" w:eastAsia="宋体"/>
          <w:b/>
          <w:color w:val="C00000"/>
          <w:sz w:val="22"/>
        </w:rPr>
        <w:t>不接受价格联动的，后续采购期内将视为其放弃对应产品的中选资格。不符合非中选产品挂网要求的，暂不予挂网。</w:t>
      </w:r>
    </w:p>
    <w:p>
      <w:r>
        <w:rPr>
          <w:rFonts w:ascii="Calibri" w:hAnsi="Calibri" w:eastAsia="宋体"/>
          <w:b/>
          <w:sz w:val="20"/>
        </w:rPr>
        <w:t>非中选产品挂网及协议采购量安排表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产品类型</w:t>
            </w:r>
          </w:p>
        </w:tc>
        <w:tc>
          <w:tcPr>
            <w:tcW w:type="dxa" w:w="2296"/>
            <w:vAlign w:val="center"/>
            <w:shd w:fill="D9EAF7"/>
          </w:tcPr>
          <w:p>
            <w:pPr>
              <w:jc w:val="center"/>
            </w:pPr>
            <w:r>
              <w:rPr>
                <w:rFonts w:ascii="Calibri" w:hAnsi="Calibri" w:eastAsia="宋体"/>
                <w:b/>
                <w:sz w:val="20"/>
              </w:rPr>
              <w:t>适用情形</w:t>
            </w:r>
          </w:p>
        </w:tc>
        <w:tc>
          <w:tcPr>
            <w:tcW w:type="dxa" w:w="2296"/>
            <w:vAlign w:val="center"/>
            <w:shd w:fill="D9EAF7"/>
          </w:tcPr>
          <w:p>
            <w:pPr>
              <w:jc w:val="center"/>
            </w:pPr>
            <w:r>
              <w:rPr>
                <w:rFonts w:ascii="Calibri" w:hAnsi="Calibri" w:eastAsia="宋体"/>
                <w:b/>
                <w:sz w:val="20"/>
              </w:rPr>
              <w:t>挂网或中选产品身份条件</w:t>
            </w:r>
          </w:p>
        </w:tc>
        <w:tc>
          <w:tcPr>
            <w:tcW w:type="dxa" w:w="2296"/>
            <w:vAlign w:val="center"/>
            <w:shd w:fill="D9EAF7"/>
          </w:tcPr>
          <w:p>
            <w:pPr>
              <w:jc w:val="center"/>
            </w:pPr>
            <w:r>
              <w:rPr>
                <w:rFonts w:ascii="Calibri" w:hAnsi="Calibri" w:eastAsia="宋体"/>
                <w:b/>
                <w:sz w:val="20"/>
              </w:rPr>
              <w:t>协议采购量安排</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属于已中选注册证的非中选产品</w:t>
            </w:r>
          </w:p>
        </w:tc>
        <w:tc>
          <w:tcPr>
            <w:tcW w:type="dxa" w:w="2296"/>
            <w:vAlign w:val="center"/>
          </w:tcPr>
          <w:p>
            <w:r>
              <w:rPr>
                <w:rFonts w:ascii="Calibri" w:hAnsi="Calibri" w:eastAsia="宋体"/>
                <w:sz w:val="20"/>
              </w:rPr>
              <w:t>申报价≤自身带量最低价、自身非带量最低价、同采购品种同类别同注册证中选价格三者低值，且接受调平</w:t>
            </w:r>
          </w:p>
        </w:tc>
        <w:tc>
          <w:tcPr>
            <w:tcW w:type="dxa" w:w="2296"/>
            <w:vAlign w:val="center"/>
          </w:tcPr>
          <w:p>
            <w:r>
              <w:rPr>
                <w:rFonts w:ascii="Calibri" w:hAnsi="Calibri" w:eastAsia="宋体"/>
                <w:sz w:val="20"/>
              </w:rPr>
              <w:t>可作为中选产品挂网，共享该采购年度内同采购品种同类别同注册证的协议采购量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不属于已中选注册证的非中选产品</w:t>
            </w:r>
          </w:p>
        </w:tc>
        <w:tc>
          <w:tcPr>
            <w:tcW w:type="dxa" w:w="2296"/>
            <w:vAlign w:val="center"/>
          </w:tcPr>
          <w:p>
            <w:r>
              <w:rPr>
                <w:rFonts w:ascii="Calibri" w:hAnsi="Calibri" w:eastAsia="宋体"/>
                <w:sz w:val="20"/>
              </w:rPr>
              <w:t>申报价≤同采购品种同类别所有中选价格中位数、自身带量最低价、自身非带量最低价三者低值</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非中选产品</w:t>
            </w:r>
          </w:p>
        </w:tc>
        <w:tc>
          <w:tcPr>
            <w:tcW w:type="dxa" w:w="2296"/>
            <w:vAlign w:val="center"/>
          </w:tcPr>
          <w:p>
            <w:r>
              <w:rPr>
                <w:rFonts w:ascii="Calibri" w:hAnsi="Calibri" w:eastAsia="宋体"/>
                <w:sz w:val="20"/>
              </w:rPr>
              <w:t>申报价（按平方厘米）≤自身带量最低价与自身非带量最低价两者低值（折算），且≤参考价</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所有品种</w:t>
            </w:r>
          </w:p>
        </w:tc>
        <w:tc>
          <w:tcPr>
            <w:tcW w:type="dxa" w:w="2296"/>
            <w:vAlign w:val="center"/>
          </w:tcPr>
          <w:p>
            <w:r>
              <w:rPr>
                <w:rFonts w:ascii="Calibri" w:hAnsi="Calibri" w:eastAsia="宋体"/>
                <w:sz w:val="20"/>
              </w:rPr>
              <w:t>仅符合挂网要求</w:t>
            </w:r>
          </w:p>
        </w:tc>
        <w:tc>
          <w:tcPr>
            <w:tcW w:type="dxa" w:w="2296"/>
            <w:vAlign w:val="center"/>
          </w:tcPr>
          <w:p>
            <w:r>
              <w:rPr>
                <w:rFonts w:ascii="Calibri" w:hAnsi="Calibri" w:eastAsia="宋体"/>
                <w:sz w:val="20"/>
              </w:rPr>
              <w:t>申报价格仅符合广东省挂网要求</w:t>
            </w:r>
          </w:p>
        </w:tc>
        <w:tc>
          <w:tcPr>
            <w:tcW w:type="dxa" w:w="2296"/>
            <w:vAlign w:val="center"/>
          </w:tcPr>
          <w:p>
            <w:r>
              <w:rPr>
                <w:rFonts w:ascii="Calibri" w:hAnsi="Calibri" w:eastAsia="宋体"/>
                <w:sz w:val="20"/>
              </w:rPr>
              <w:t>以非中选身份在广东省挂网交易</w:t>
            </w:r>
          </w:p>
        </w:tc>
      </w:tr>
      <w:tr>
        <w:tc>
          <w:tcPr>
            <w:tcW w:type="dxa" w:w="2296"/>
            <w:vAlign w:val="center"/>
          </w:tcPr>
          <w:p>
            <w:r>
              <w:rPr>
                <w:rFonts w:ascii="Calibri" w:hAnsi="Calibri" w:eastAsia="宋体"/>
                <w:sz w:val="20"/>
              </w:rPr>
              <w:t>所有品种</w:t>
            </w:r>
          </w:p>
        </w:tc>
        <w:tc>
          <w:tcPr>
            <w:tcW w:type="dxa" w:w="2296"/>
            <w:vAlign w:val="center"/>
          </w:tcPr>
          <w:p>
            <w:r>
              <w:rPr>
                <w:rFonts w:ascii="Calibri" w:hAnsi="Calibri" w:eastAsia="宋体"/>
                <w:sz w:val="20"/>
              </w:rPr>
              <w:t>不符合上述要求</w:t>
            </w:r>
          </w:p>
        </w:tc>
        <w:tc>
          <w:tcPr>
            <w:tcW w:type="dxa" w:w="2296"/>
            <w:vAlign w:val="center"/>
          </w:tcPr>
          <w:p>
            <w:r>
              <w:rPr>
                <w:rFonts w:ascii="Calibri" w:hAnsi="Calibri" w:eastAsia="宋体"/>
                <w:sz w:val="20"/>
              </w:rPr>
              <w:t>不满足前述任一条件</w:t>
            </w:r>
          </w:p>
        </w:tc>
        <w:tc>
          <w:tcPr>
            <w:tcW w:type="dxa" w:w="2296"/>
            <w:vAlign w:val="center"/>
          </w:tcPr>
          <w:p>
            <w:r>
              <w:rPr>
                <w:rFonts w:ascii="Calibri" w:hAnsi="Calibri" w:eastAsia="宋体"/>
                <w:sz w:val="20"/>
              </w:rPr>
              <w:t>暂不予挂网</w:t>
            </w:r>
          </w:p>
        </w:tc>
      </w:tr>
    </w:tbl>
    <w:p/>
    <w:p>
      <w:pPr>
        <w:pStyle w:val="Heading1"/>
      </w:pPr>
      <w:r>
        <w:t>六、名词解释</w:t>
      </w:r>
    </w:p>
    <w:p>
      <w:pPr>
        <w:spacing w:lineRule="auto" w:line="324"/>
        <w:ind w:firstLine="420"/>
      </w:pPr>
      <w:r>
        <w:rPr>
          <w:rFonts w:ascii="Calibri" w:hAnsi="Calibri" w:eastAsia="宋体"/>
          <w:b w:val="0"/>
          <w:sz w:val="22"/>
        </w:rPr>
        <w:t>1. 带量最低价：指全国现行省级（含省际联盟）集中带量采购最低中选价格；报价单元内的报名规格型号存在多个不同价格的，按就低原则取值。 2. 2.</w:t>
      </w:r>
    </w:p>
    <w:p>
      <w:pPr>
        <w:spacing w:lineRule="auto" w:line="324"/>
        <w:ind w:firstLine="420"/>
      </w:pPr>
      <w:r>
        <w:rPr>
          <w:rFonts w:ascii="Calibri" w:hAnsi="Calibri" w:eastAsia="宋体"/>
          <w:b w:val="0"/>
          <w:sz w:val="22"/>
        </w:rPr>
        <w:t>2. 非带量最低价：指全国（不含广东）省级最低挂网价格和广东省最低价两者低值，其中广东省最低价指省平台、广州平台、深圳平台三个平台的最低价，包括挂网价格、线下采购上传的价格和实际交易价格；报价单元内的报名规格型号存在多个不同价格的，按就低原则取值。 3. 3.</w:t>
      </w:r>
    </w:p>
    <w:p>
      <w:pPr>
        <w:spacing w:lineRule="auto" w:line="324"/>
        <w:ind w:firstLine="420"/>
      </w:pPr>
      <w:r>
        <w:rPr>
          <w:rFonts w:ascii="Calibri" w:hAnsi="Calibri" w:eastAsia="宋体"/>
          <w:b w:val="0"/>
          <w:sz w:val="22"/>
        </w:rPr>
        <w:t>3. 中选产品：指获得中选资格的产品。 4. 4.</w:t>
      </w:r>
    </w:p>
    <w:p>
      <w:pPr>
        <w:spacing w:lineRule="auto" w:line="324"/>
        <w:ind w:firstLine="420"/>
      </w:pPr>
      <w:r>
        <w:rPr>
          <w:rFonts w:ascii="Calibri" w:hAnsi="Calibri" w:eastAsia="宋体"/>
          <w:b w:val="0"/>
          <w:sz w:val="22"/>
        </w:rPr>
        <w:t>4. 非中选产品：指属于本次带量联动采购范围内，但未获得中选资格的产品，具体包括未报名产品、报名未报价产品和报价未中选产品、新获批的产品等。</w:t>
      </w:r>
    </w:p>
    <w:p>
      <w:pPr>
        <w:pStyle w:val="Heading1"/>
      </w:pPr>
      <w:r>
        <w:t>企业关注点</w:t>
      </w:r>
    </w:p>
    <w:p>
      <w:pPr>
        <w:spacing w:lineRule="auto" w:line="324"/>
        <w:ind w:firstLine="420"/>
      </w:pPr>
      <w:r>
        <w:rPr>
          <w:rFonts w:ascii="Calibri" w:hAnsi="Calibri" w:eastAsia="宋体"/>
          <w:b w:val="0"/>
          <w:sz w:val="22"/>
        </w:rPr>
        <w:t>企业需严格核对报价单元划分与报价单位，麻醉管路及血压传感器报价单位为“套”，高分子夹板区分“片/袋”与“平方厘米”，申报价格精度需符合文件要求。</w:t>
      </w:r>
    </w:p>
    <w:p>
      <w:pPr>
        <w:spacing w:lineRule="auto" w:line="324"/>
        <w:ind w:firstLine="420"/>
      </w:pPr>
      <w:r>
        <w:rPr>
          <w:rFonts w:ascii="Calibri" w:hAnsi="Calibri" w:eastAsia="宋体"/>
          <w:b w:val="0"/>
          <w:sz w:val="22"/>
        </w:rPr>
        <w:t>拟中选价格高于128元的医用高分子夹板产品需提前评估价格纠偏接受度，避免因拒绝纠偏导致拟中选资格被取消。</w:t>
      </w:r>
    </w:p>
    <w:p>
      <w:pPr>
        <w:spacing w:lineRule="auto" w:line="324"/>
        <w:ind w:firstLine="420"/>
      </w:pPr>
      <w:r>
        <w:rPr>
          <w:rFonts w:ascii="Calibri" w:hAnsi="Calibri" w:eastAsia="宋体"/>
          <w:b w:val="0"/>
          <w:sz w:val="22"/>
        </w:rPr>
        <w:t>中选企业须密切关注其他省级带量采购价格动态，一旦触发联动条件，需在20个工作日内完成申报，否则将面临放弃中选资格的风险。</w:t>
      </w:r>
    </w:p>
    <w:p>
      <w:pPr>
        <w:spacing w:lineRule="auto" w:line="324"/>
        <w:ind w:firstLine="420"/>
      </w:pPr>
      <w:r>
        <w:rPr>
          <w:rFonts w:ascii="Calibri" w:hAnsi="Calibri" w:eastAsia="宋体"/>
          <w:b w:val="0"/>
          <w:sz w:val="22"/>
        </w:rPr>
        <w:t>非中选产品若希望获得挂网或共享协议采购量资格，需精准测算自身带量最低价、非带量最低价及同注册证中选价格等门槛值，并提前准备调平承诺。</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《广东省麻醉管路等三类医用耗材带量联动采购文件》（采购文件编号：SZGGZYHCDL202601）</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