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江苏省药品和医用耗材挂网价格专项治理通知分析</w:t>
      </w:r>
    </w:p>
    <w:p>
      <w:pPr>
        <w:spacing w:lineRule="auto" w:line="324"/>
        <w:ind w:firstLine="420"/>
      </w:pPr>
      <w:r>
        <w:rPr>
          <w:rFonts w:ascii="Calibri" w:hAnsi="Calibri" w:eastAsia="宋体"/>
          <w:b w:val="0"/>
          <w:sz w:val="22"/>
        </w:rPr>
        <w:t>2026年2月28日，江苏省医疗保障局正式发布《关于开展药品和医用耗材挂网价格专项治理的通知》，明确于2026年3月1日至3月15日开展全省挂网药品和医用耗材价格专项治理工作。本次治理范围覆盖在江苏省药品和医用耗材招采管理系统（以下简称“省平台”）挂网的所有药品耗材，旨在进一步强化挂网价格管理，落实国家医保局医药价格治理部署。</w:t>
      </w:r>
    </w:p>
    <w:p>
      <w:pPr>
        <w:spacing w:lineRule="auto" w:line="324"/>
        <w:ind w:firstLine="420"/>
      </w:pPr>
      <w:r>
        <w:rPr>
          <w:rFonts w:ascii="Calibri" w:hAnsi="Calibri" w:eastAsia="宋体"/>
          <w:b w:val="0"/>
          <w:sz w:val="22"/>
        </w:rPr>
        <w:t>文件核心要求相关企业在专项治理窗口期内，针对全国其他省级挂网价偏低、实际供应价明显低于挂网价或集采中选价等情形，通过省平台指定模块主动申请价格调整。通知同步明确了差异化的处置路径与信用管理机制，对按期合规调整、超期重复申报及拒不调整的企业设定了明确的挂网状态与信用记分后果，企业需严格对照规则完成价格自查与申报。</w:t>
      </w:r>
    </w:p>
    <w:p>
      <w:pPr>
        <w:pStyle w:val="Heading1"/>
      </w:pPr>
      <w:r>
        <w:t>专项治理时间与申报操作路径</w:t>
      </w:r>
    </w:p>
    <w:p>
      <w:pPr>
        <w:spacing w:lineRule="auto" w:line="324"/>
        <w:ind w:firstLine="420"/>
      </w:pPr>
      <w:r>
        <w:rPr>
          <w:rFonts w:ascii="Calibri" w:hAnsi="Calibri" w:eastAsia="宋体"/>
          <w:b w:val="0"/>
          <w:sz w:val="22"/>
        </w:rPr>
        <w:t>本次专项治理设定了明确的集中申报窗口期，时间为2026年3月1日至3月15日。相关企业需在此期间内完成价格自查与系统申报，逾期将触发相应的处置规则。</w:t>
      </w:r>
    </w:p>
    <w:p>
      <w:pPr>
        <w:spacing w:lineRule="auto" w:line="324"/>
        <w:ind w:firstLine="420"/>
      </w:pPr>
      <w:r>
        <w:rPr>
          <w:rFonts w:ascii="Calibri" w:hAnsi="Calibri" w:eastAsia="宋体"/>
          <w:b w:val="0"/>
          <w:sz w:val="22"/>
        </w:rPr>
        <w:t>申报操作需严格区分药品与耗材模块。药品企业应通过省平台“药品招采管理-阳光采购管理-日常申请调整”路径提交调价申请；医用耗材企业则需通过“耗材招采管理-动态调整申请-日常申请调整”路径进行操作。文件明确，对申请降价的药品耗材产品，将按日常降价流程进行公布，企业需确保申报路径准确、材料完整，以符合后续处置的合规要求。</w:t>
      </w:r>
    </w:p>
    <w:p>
      <w:r>
        <w:rPr>
          <w:rFonts w:ascii="Calibri" w:hAnsi="Calibri" w:eastAsia="宋体"/>
          <w:b/>
          <w:color w:val="C00000"/>
          <w:sz w:val="22"/>
        </w:rPr>
        <w:t>专项治理窗口期为2026年3月1日至3月15日，逾期申报将直接影响产品挂网状态与信用评价。</w:t>
      </w:r>
    </w:p>
    <w:p>
      <w:r>
        <w:rPr>
          <w:rFonts w:ascii="Calibri" w:hAnsi="Calibri" w:eastAsia="宋体"/>
          <w:b/>
          <w:color w:val="C00000"/>
          <w:sz w:val="22"/>
        </w:rPr>
        <w:t>药品与耗材申报路径严格区分，企业需按对应模块提交日常申请调整。</w:t>
      </w:r>
    </w:p>
    <w:p>
      <w:pPr>
        <w:pStyle w:val="Heading1"/>
      </w:pPr>
      <w:r>
        <w:t>价格调整触发情形与执行标准</w:t>
      </w:r>
    </w:p>
    <w:p>
      <w:pPr>
        <w:spacing w:lineRule="auto" w:line="324"/>
        <w:ind w:firstLine="420"/>
      </w:pPr>
      <w:r>
        <w:rPr>
          <w:rFonts w:ascii="Calibri" w:hAnsi="Calibri" w:eastAsia="宋体"/>
          <w:b w:val="0"/>
          <w:sz w:val="22"/>
        </w:rPr>
        <w:t>文件明确了三类需主动申请调价的情形，并设定了具体的价格比对与调整标准。第一类为跨省价格联动情形：当全国其他省级挂网价格（非活跃区价格除外）低于省平台挂网价时，企业应主动申请将挂网价格降至不高于其他省级挂网价。针对药品注射剂，文件给出了特殊的比对口径，即最小制剂单位价格整数位及小数点后第1位均相同的，可视同价格一致，该规则为企业提供了明确的价差豁免边界。</w:t>
      </w:r>
    </w:p>
    <w:p>
      <w:pPr>
        <w:spacing w:lineRule="auto" w:line="324"/>
        <w:ind w:firstLine="420"/>
      </w:pPr>
      <w:r>
        <w:rPr>
          <w:rFonts w:ascii="Calibri" w:hAnsi="Calibri" w:eastAsia="宋体"/>
          <w:b w:val="0"/>
          <w:sz w:val="22"/>
        </w:rPr>
        <w:t>第二类为实际供应价格锚定情形：若实际供应医药机构的价格明显低于挂网价或集采中选价，企业应以实际供应价格为锚点主动降价以排除价格风险。文件强调，若未主动调整且一经查实，将直接予以暂停挂网处理。该条款强化了挂网价与实际交易价的一致性要求，防范价格虚高或交易价与挂网价背离现象。</w:t>
      </w:r>
    </w:p>
    <w:p>
      <w:pPr>
        <w:spacing w:lineRule="auto" w:line="324"/>
        <w:ind w:firstLine="420"/>
      </w:pPr>
      <w:r>
        <w:rPr>
          <w:rFonts w:ascii="Calibri" w:hAnsi="Calibri" w:eastAsia="宋体"/>
          <w:b w:val="0"/>
          <w:sz w:val="22"/>
        </w:rPr>
        <w:t>第三类为集采中选价格联动情形：对于在全国其他省份集采中选且集采中选价格明显低于省平台挂网价的产品，文件采取鼓励性表述，建议企业主动降低挂网价，以减少挂网价与集采中选价格的差距。虽未设定强制降价时限，但结合后续处置规则，未响应鼓励性调价且价差显著的产品，在后续价格监测中可能面临更高的合规风险。</w:t>
      </w:r>
    </w:p>
    <w:p>
      <w:r>
        <w:rPr>
          <w:rFonts w:ascii="Calibri" w:hAnsi="Calibri" w:eastAsia="宋体"/>
          <w:b/>
          <w:color w:val="C00000"/>
          <w:sz w:val="22"/>
        </w:rPr>
        <w:t>全国其他省级挂网价（非活跃区除外）低于省平台价的，须降至不高于其他省级挂网价。</w:t>
      </w:r>
    </w:p>
    <w:p>
      <w:r>
        <w:rPr>
          <w:rFonts w:ascii="Calibri" w:hAnsi="Calibri" w:eastAsia="宋体"/>
          <w:b/>
          <w:color w:val="C00000"/>
          <w:sz w:val="22"/>
        </w:rPr>
        <w:t>药品注射剂最小制剂单位价格整数位及小数点后第1位均相同的，可视同价格一致。</w:t>
      </w:r>
    </w:p>
    <w:p>
      <w:r>
        <w:rPr>
          <w:rFonts w:ascii="Calibri" w:hAnsi="Calibri" w:eastAsia="宋体"/>
          <w:b/>
          <w:color w:val="C00000"/>
          <w:sz w:val="22"/>
        </w:rPr>
        <w:t>实际供应价明显低于挂网价或集采中选价的，须以实际供应价为锚点主动降价，查实未降者暂停挂网。</w:t>
      </w:r>
    </w:p>
    <w:p>
      <w:pPr>
        <w:pStyle w:val="Heading1"/>
      </w:pPr>
      <w:r>
        <w:t>专项治理处置规则与信用管理</w:t>
      </w:r>
    </w:p>
    <w:p>
      <w:pPr>
        <w:spacing w:lineRule="auto" w:line="324"/>
        <w:ind w:firstLine="420"/>
      </w:pPr>
      <w:r>
        <w:rPr>
          <w:rFonts w:ascii="Calibri" w:hAnsi="Calibri" w:eastAsia="宋体"/>
          <w:b w:val="0"/>
          <w:sz w:val="22"/>
        </w:rPr>
        <w:t>文件根据企业在专项治理期间的申报降价情况，设定了阶梯式处置机制，并将处置结果与信用记分直接挂钩。处置规则主要依据企业是否主动申请、申请时间节点以及历史申报记录进行综合判定。</w:t>
      </w:r>
    </w:p>
    <w:p>
      <w:pPr>
        <w:spacing w:lineRule="auto" w:line="324"/>
        <w:ind w:firstLine="420"/>
      </w:pPr>
      <w:r>
        <w:rPr>
          <w:rFonts w:ascii="Calibri" w:hAnsi="Calibri" w:eastAsia="宋体"/>
          <w:b w:val="0"/>
          <w:sz w:val="22"/>
        </w:rPr>
        <w:t>对于主动申请降至不高于其他省级挂网价的产品，若满足以下任一情形，将按降后价格正常挂网且不予以信用记分：一是申请时间不超过省级挂网低价执行后20个工作日；二是首次出现申请时间超过省级挂网低价执行后20个工作日的情形；三是口服药品最小零售包装单位省级挂网低价与省平台挂网价差异在5%（以省平台挂网价格为基准）且5元以内。该规则体现了对及时响应调价及微小价差情形的包容性管理。</w:t>
      </w:r>
    </w:p>
    <w:p>
      <w:pPr>
        <w:spacing w:lineRule="auto" w:line="324"/>
        <w:ind w:firstLine="420"/>
      </w:pPr>
      <w:r>
        <w:rPr>
          <w:rFonts w:ascii="Calibri" w:hAnsi="Calibri" w:eastAsia="宋体"/>
          <w:b w:val="0"/>
          <w:sz w:val="22"/>
        </w:rPr>
        <w:t>若企业主动申请降价，但申请时间超过省级挂网低价执行后20个工作日，且此前企业已发生过同类超期情形的，相关产品将被暂停挂网1个月，暂不予以信用记分。此条款针对历史重复超期申报行为设定了明确的挂网限制期，企业需重点关注自身历史调价记录。</w:t>
      </w:r>
    </w:p>
    <w:p>
      <w:pPr>
        <w:spacing w:lineRule="auto" w:line="324"/>
        <w:ind w:firstLine="420"/>
      </w:pPr>
      <w:r>
        <w:rPr>
          <w:rFonts w:ascii="Calibri" w:hAnsi="Calibri" w:eastAsia="宋体"/>
          <w:b w:val="0"/>
          <w:sz w:val="22"/>
        </w:rPr>
        <w:t>对于未按要求在规定时间主动申请降价，且经确认挂网价格高于其他省级挂网价的产品，将依据《关于完善药品阳光挂网政策有关事项的通知》（苏医保发〔2025〕41号）、《关于进一步推进医用耗材阳光挂网价格治理工作的通知》（苏医保发〔2024〕35号）和《关于药品（医用耗材）阳光挂网价格动态调整有关事项的补充通知》（苏医保函〔2024〕113号）有关规定，予以暂停挂网和信用记分处置。该情形属于最严厉的处置层级，直接关联既往政策文件的信用约束条款。</w:t>
      </w:r>
    </w:p>
    <w:p>
      <w:r>
        <w:rPr>
          <w:rFonts w:ascii="Calibri" w:hAnsi="Calibri" w:eastAsia="宋体"/>
          <w:b/>
          <w:color w:val="C00000"/>
          <w:sz w:val="22"/>
        </w:rPr>
        <w:t>首次超期20个工作日或口服药价差≤5%且≤5元的，正常挂网且不记分。</w:t>
      </w:r>
    </w:p>
    <w:p>
      <w:r>
        <w:rPr>
          <w:rFonts w:ascii="Calibri" w:hAnsi="Calibri" w:eastAsia="宋体"/>
          <w:b/>
          <w:color w:val="C00000"/>
          <w:sz w:val="22"/>
        </w:rPr>
        <w:t>超期20个工作日且非首次发生的，暂停挂网1个月，暂不记分。</w:t>
      </w:r>
    </w:p>
    <w:p>
      <w:r>
        <w:rPr>
          <w:rFonts w:ascii="Calibri" w:hAnsi="Calibri" w:eastAsia="宋体"/>
          <w:b/>
          <w:color w:val="C00000"/>
          <w:sz w:val="22"/>
        </w:rPr>
        <w:t>未按要求申请且确认高价的，暂停挂网并信用记分，适用苏医保发〔2025〕41号等既往文件。</w:t>
      </w:r>
    </w:p>
    <w:p>
      <w:r>
        <w:rPr>
          <w:rFonts w:ascii="Calibri" w:hAnsi="Calibri" w:eastAsia="宋体"/>
          <w:b/>
          <w:sz w:val="20"/>
        </w:rPr>
        <w:t>专项治理处置情形与后果对照表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申报情形</w:t>
            </w:r>
          </w:p>
        </w:tc>
        <w:tc>
          <w:tcPr>
            <w:tcW w:type="dxa" w:w="2296"/>
            <w:vAlign w:val="center"/>
            <w:shd w:fill="D9EAF7"/>
          </w:tcPr>
          <w:p>
            <w:pPr>
              <w:jc w:val="center"/>
            </w:pPr>
            <w:r>
              <w:rPr>
                <w:rFonts w:ascii="Calibri" w:hAnsi="Calibri" w:eastAsia="宋体"/>
                <w:b/>
                <w:sz w:val="20"/>
              </w:rPr>
              <w:t>附加条件</w:t>
            </w:r>
          </w:p>
        </w:tc>
        <w:tc>
          <w:tcPr>
            <w:tcW w:type="dxa" w:w="2296"/>
            <w:vAlign w:val="center"/>
            <w:shd w:fill="D9EAF7"/>
          </w:tcPr>
          <w:p>
            <w:pPr>
              <w:jc w:val="center"/>
            </w:pPr>
            <w:r>
              <w:rPr>
                <w:rFonts w:ascii="Calibri" w:hAnsi="Calibri" w:eastAsia="宋体"/>
                <w:b/>
                <w:sz w:val="20"/>
              </w:rPr>
              <w:t>处置结果</w:t>
            </w:r>
          </w:p>
        </w:tc>
        <w:tc>
          <w:tcPr>
            <w:tcW w:type="dxa" w:w="2296"/>
            <w:vAlign w:val="center"/>
            <w:shd w:fill="D9EAF7"/>
          </w:tcPr>
          <w:p>
            <w:pPr>
              <w:jc w:val="center"/>
            </w:pPr>
            <w:r>
              <w:rPr>
                <w:rFonts w:ascii="Calibri" w:hAnsi="Calibri" w:eastAsia="宋体"/>
                <w:b/>
                <w:sz w:val="20"/>
              </w:rPr>
              <w:t>信用记分</w:t>
            </w:r>
          </w:p>
        </w:tc>
      </w:tr>
      <w:tr>
        <w:tc>
          <w:tcPr>
            <w:tcW w:type="dxa" w:w="2296"/>
            <w:vAlign w:val="center"/>
          </w:tcPr>
          <w:p>
            <w:r>
              <w:rPr>
                <w:rFonts w:ascii="Calibri" w:hAnsi="Calibri" w:eastAsia="宋体"/>
                <w:sz w:val="20"/>
              </w:rPr>
              <w:t>主动申请降至不高于其他省级挂网价</w:t>
            </w:r>
          </w:p>
        </w:tc>
        <w:tc>
          <w:tcPr>
            <w:tcW w:type="dxa" w:w="2296"/>
            <w:vAlign w:val="center"/>
          </w:tcPr>
          <w:p>
            <w:r>
              <w:rPr>
                <w:rFonts w:ascii="Calibri" w:hAnsi="Calibri" w:eastAsia="宋体"/>
                <w:sz w:val="20"/>
              </w:rPr>
              <w:t>申请时间≤省级挂网低价执行后20个工作日；或首次超期；或口服药价差≤5%且≤5元</w:t>
            </w:r>
          </w:p>
        </w:tc>
        <w:tc>
          <w:tcPr>
            <w:tcW w:type="dxa" w:w="2296"/>
            <w:vAlign w:val="center"/>
          </w:tcPr>
          <w:p>
            <w:r>
              <w:rPr>
                <w:rFonts w:ascii="Calibri" w:hAnsi="Calibri" w:eastAsia="宋体"/>
                <w:sz w:val="20"/>
              </w:rPr>
              <w:t>按降后价格正常挂网</w:t>
            </w:r>
          </w:p>
        </w:tc>
        <w:tc>
          <w:tcPr>
            <w:tcW w:type="dxa" w:w="2296"/>
            <w:vAlign w:val="center"/>
          </w:tcPr>
          <w:p>
            <w:r>
              <w:rPr>
                <w:rFonts w:ascii="Calibri" w:hAnsi="Calibri" w:eastAsia="宋体"/>
                <w:sz w:val="20"/>
              </w:rPr>
              <w:t>不予以信用记分</w:t>
            </w:r>
          </w:p>
        </w:tc>
      </w:tr>
      <w:tr>
        <w:tc>
          <w:tcPr>
            <w:tcW w:type="dxa" w:w="2296"/>
            <w:vAlign w:val="center"/>
          </w:tcPr>
          <w:p>
            <w:r>
              <w:rPr>
                <w:rFonts w:ascii="Calibri" w:hAnsi="Calibri" w:eastAsia="宋体"/>
                <w:sz w:val="20"/>
              </w:rPr>
              <w:t>主动申请降至不高于其他省级挂网价</w:t>
            </w:r>
          </w:p>
        </w:tc>
        <w:tc>
          <w:tcPr>
            <w:tcW w:type="dxa" w:w="2296"/>
            <w:vAlign w:val="center"/>
          </w:tcPr>
          <w:p>
            <w:r>
              <w:rPr>
                <w:rFonts w:ascii="Calibri" w:hAnsi="Calibri" w:eastAsia="宋体"/>
                <w:sz w:val="20"/>
              </w:rPr>
              <w:t>申请时间&gt;省级挂网低价执行后20个工作日，且此前已发生此情形</w:t>
            </w:r>
          </w:p>
        </w:tc>
        <w:tc>
          <w:tcPr>
            <w:tcW w:type="dxa" w:w="2296"/>
            <w:vAlign w:val="center"/>
          </w:tcPr>
          <w:p>
            <w:r>
              <w:rPr>
                <w:rFonts w:ascii="Calibri" w:hAnsi="Calibri" w:eastAsia="宋体"/>
                <w:sz w:val="20"/>
              </w:rPr>
              <w:t>相关产品暂停挂网1个月</w:t>
            </w:r>
          </w:p>
        </w:tc>
        <w:tc>
          <w:tcPr>
            <w:tcW w:type="dxa" w:w="2296"/>
            <w:vAlign w:val="center"/>
          </w:tcPr>
          <w:p>
            <w:r>
              <w:rPr>
                <w:rFonts w:ascii="Calibri" w:hAnsi="Calibri" w:eastAsia="宋体"/>
                <w:sz w:val="20"/>
              </w:rPr>
              <w:t>暂不予以信用记分</w:t>
            </w:r>
          </w:p>
        </w:tc>
      </w:tr>
      <w:tr>
        <w:tc>
          <w:tcPr>
            <w:tcW w:type="dxa" w:w="2296"/>
            <w:vAlign w:val="center"/>
          </w:tcPr>
          <w:p>
            <w:r>
              <w:rPr>
                <w:rFonts w:ascii="Calibri" w:hAnsi="Calibri" w:eastAsia="宋体"/>
                <w:sz w:val="20"/>
              </w:rPr>
              <w:t>未按要求在规定时间主动申请降价</w:t>
            </w:r>
          </w:p>
        </w:tc>
        <w:tc>
          <w:tcPr>
            <w:tcW w:type="dxa" w:w="2296"/>
            <w:vAlign w:val="center"/>
          </w:tcPr>
          <w:p>
            <w:r>
              <w:rPr>
                <w:rFonts w:ascii="Calibri" w:hAnsi="Calibri" w:eastAsia="宋体"/>
                <w:sz w:val="20"/>
              </w:rPr>
              <w:t>经确认挂网价格高于其他省级挂网价</w:t>
            </w:r>
          </w:p>
        </w:tc>
        <w:tc>
          <w:tcPr>
            <w:tcW w:type="dxa" w:w="2296"/>
            <w:vAlign w:val="center"/>
          </w:tcPr>
          <w:p>
            <w:r>
              <w:rPr>
                <w:rFonts w:ascii="Calibri" w:hAnsi="Calibri" w:eastAsia="宋体"/>
                <w:sz w:val="20"/>
              </w:rPr>
              <w:t>暂停挂网</w:t>
            </w:r>
          </w:p>
        </w:tc>
        <w:tc>
          <w:tcPr>
            <w:tcW w:type="dxa" w:w="2296"/>
            <w:vAlign w:val="center"/>
          </w:tcPr>
          <w:p>
            <w:r>
              <w:rPr>
                <w:rFonts w:ascii="Calibri" w:hAnsi="Calibri" w:eastAsia="宋体"/>
                <w:sz w:val="20"/>
              </w:rPr>
              <w:t>予以信用记分（按苏医保发〔2025〕41号等文件执行）</w:t>
            </w:r>
          </w:p>
        </w:tc>
      </w:tr>
    </w:tbl>
    <w:p>
      <w:r>
        <w:rPr>
          <w:rFonts w:ascii="Calibri" w:hAnsi="Calibri" w:eastAsia="宋体"/>
          <w:color w:val="646464"/>
          <w:sz w:val="18"/>
        </w:rPr>
        <w:t>注：处置规则以国家有关要求为优先，国家另有要求的按国家要求执行。</w:t>
      </w:r>
    </w:p>
    <w:p>
      <w:r>
        <w:rPr>
          <w:rFonts w:ascii="Calibri" w:hAnsi="Calibri" w:eastAsia="宋体"/>
          <w:color w:val="646464"/>
          <w:sz w:val="18"/>
        </w:rPr>
        <w:t>注：口服药品价差计算基准为省平台挂网价格，差异需同时满足5%比例与5元绝对值条件。</w:t>
      </w:r>
    </w:p>
    <w:p/>
    <w:p>
      <w:pPr>
        <w:pStyle w:val="Heading1"/>
      </w:pPr>
      <w:r>
        <w:t>企业关注点</w:t>
      </w:r>
    </w:p>
    <w:p>
      <w:pPr>
        <w:spacing w:lineRule="auto" w:line="324"/>
        <w:ind w:firstLine="420"/>
      </w:pPr>
      <w:r>
        <w:rPr>
          <w:rFonts w:ascii="Calibri" w:hAnsi="Calibri" w:eastAsia="宋体"/>
          <w:b w:val="0"/>
          <w:sz w:val="22"/>
        </w:rPr>
        <w:t>企业需严格把握2026年3月1日至3月15日的申报窗口期，提前完成全国省级挂网价与实际供应价的交叉比对。针对注射剂产品，应准确适用“整数位及小数点后第1位相同视同一致”的比对规则，避免不必要的调价操作。</w:t>
      </w:r>
    </w:p>
    <w:p>
      <w:pPr>
        <w:spacing w:lineRule="auto" w:line="324"/>
        <w:ind w:firstLine="420"/>
      </w:pPr>
      <w:r>
        <w:rPr>
          <w:rFonts w:ascii="Calibri" w:hAnsi="Calibri" w:eastAsia="宋体"/>
          <w:b w:val="0"/>
          <w:sz w:val="22"/>
        </w:rPr>
        <w:t>企业应重点核查自身历史调价记录。若存在超期申报情形，本次专项治理中再次触发超期将直接导致产品暂停挂网1个月。对于实际供应价显著低于挂网价的产品，建议以实际交易价格为锚点主动申报，防范查实后的暂停挂网风险。</w:t>
      </w:r>
    </w:p>
    <w:p>
      <w:pPr>
        <w:spacing w:lineRule="auto" w:line="324"/>
        <w:ind w:firstLine="420"/>
      </w:pPr>
      <w:r>
        <w:rPr>
          <w:rFonts w:ascii="Calibri" w:hAnsi="Calibri" w:eastAsia="宋体"/>
          <w:b w:val="0"/>
          <w:sz w:val="22"/>
        </w:rPr>
        <w:t>信用记分机制与既往政策文件深度绑定，未按期调整且确认高价的产品将面临信用约束。企业需确保申报路径准确、材料合规，并持续关注省平台日常降价流程的公布进度，以官方最终处置结果为准。</w:t>
      </w:r>
    </w:p>
    <w:p>
      <w:pPr>
        <w:pStyle w:val="Heading1"/>
      </w:pPr>
      <w:r>
        <w:t>企业关注点</w:t>
      </w:r>
    </w:p>
    <w:p>
      <w:pPr>
        <w:spacing w:lineRule="auto" w:line="324"/>
        <w:ind w:firstLine="420"/>
      </w:pPr>
      <w:r>
        <w:rPr>
          <w:rFonts w:ascii="Calibri" w:hAnsi="Calibri" w:eastAsia="宋体"/>
          <w:b w:val="0"/>
          <w:sz w:val="22"/>
        </w:rPr>
        <w:t>企业需在2026年3月1日至15日窗口期内，通过省平台指定模块完成药品或耗材的日常申请调整。</w:t>
      </w:r>
    </w:p>
    <w:p>
      <w:pPr>
        <w:spacing w:lineRule="auto" w:line="324"/>
        <w:ind w:firstLine="420"/>
      </w:pPr>
      <w:r>
        <w:rPr>
          <w:rFonts w:ascii="Calibri" w:hAnsi="Calibri" w:eastAsia="宋体"/>
          <w:b w:val="0"/>
          <w:sz w:val="22"/>
        </w:rPr>
        <w:t>注射剂价格比对适用特殊口径，最小制剂单位价格整数位及小数点后第1位相同可视同一致，企业可据此评估调价必要性。</w:t>
      </w:r>
    </w:p>
    <w:p>
      <w:pPr>
        <w:spacing w:lineRule="auto" w:line="324"/>
        <w:ind w:firstLine="420"/>
      </w:pPr>
      <w:r>
        <w:rPr>
          <w:rFonts w:ascii="Calibri" w:hAnsi="Calibri" w:eastAsia="宋体"/>
          <w:b w:val="0"/>
          <w:sz w:val="22"/>
        </w:rPr>
        <w:t>实际供应价明显低于挂网价或集采中选价的，须以实际供应价为锚点主动降价，否则查实后将面临暂停挂网。</w:t>
      </w:r>
    </w:p>
    <w:p>
      <w:pPr>
        <w:spacing w:lineRule="auto" w:line="324"/>
        <w:ind w:firstLine="420"/>
      </w:pPr>
      <w:r>
        <w:rPr>
          <w:rFonts w:ascii="Calibri" w:hAnsi="Calibri" w:eastAsia="宋体"/>
          <w:b w:val="0"/>
          <w:sz w:val="22"/>
        </w:rPr>
        <w:t>超期20个工作日申报且非首次触发的，产品将被暂停挂网1个月，企业需提前排查历史调价记录。</w:t>
      </w:r>
    </w:p>
    <w:p>
      <w:pPr>
        <w:spacing w:lineRule="auto" w:line="324"/>
        <w:ind w:firstLine="420"/>
      </w:pPr>
      <w:r>
        <w:rPr>
          <w:rFonts w:ascii="Calibri" w:hAnsi="Calibri" w:eastAsia="宋体"/>
          <w:b w:val="0"/>
          <w:sz w:val="22"/>
        </w:rPr>
        <w:t>未按期申请且确认挂网价高于其他省级价的，将依据苏医保发〔2025〕41号等文件执行暂停挂网与信用记分。</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2026-02-28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关于开展药品和医用耗材挂网价格专项治理的通知</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