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imSun" w:hAnsi="SimSun" w:eastAsia="宋体"/>
          <w:b/>
          <w:sz w:val="36"/>
        </w:rPr>
        <w:t>河南省调整医用耗材申报挂网操作流程分析</w:t>
      </w:r>
    </w:p>
    <w:p>
      <w:pPr>
        <w:spacing w:lineRule="auto" w:line="324"/>
        <w:ind w:firstLine="420"/>
      </w:pPr>
      <w:r>
        <w:rPr>
          <w:rFonts w:ascii="Calibri" w:hAnsi="Calibri" w:eastAsia="宋体"/>
          <w:b w:val="0"/>
          <w:sz w:val="22"/>
        </w:rPr>
        <w:t>2026年5月27日，河南省公共资源交易中心发布《关于调整医用耗材申报挂网操作流程的通知》（豫公共资源药采函〔2026〕96号）。文件明确，按照《河南省公共资源交易中心 河南省医疗保障局关于规范医用耗材挂网价格信息工作的通知》（豫公共资源药采〔2026〕8号）要求，自2026年6月1日起，相关企业须通过“医用耗材挂网全国联审通办”渠道向河南省提交医用耗材挂网申报。本次调整涉及申报入口迁移、跨省核验流程衔接及原省级平台功能切换，企业需及时适应新的申报路径与操作规范。</w:t>
      </w:r>
    </w:p>
    <w:p>
      <w:pPr>
        <w:pStyle w:val="Heading1"/>
      </w:pPr>
      <w:r>
        <w:t>申报路径与操作流程调整</w:t>
      </w:r>
    </w:p>
    <w:p>
      <w:pPr>
        <w:spacing w:lineRule="auto" w:line="324"/>
        <w:ind w:firstLine="420"/>
      </w:pPr>
      <w:r>
        <w:rPr>
          <w:rFonts w:ascii="Calibri" w:hAnsi="Calibri" w:eastAsia="宋体"/>
          <w:b w:val="0"/>
          <w:sz w:val="22"/>
        </w:rPr>
        <w:t>根据通知要求，医用耗材挂网申报流程调整为“国家平台填报-省级平台办理”的两步走模式。</w:t>
      </w:r>
    </w:p>
    <w:p>
      <w:pPr>
        <w:spacing w:lineRule="auto" w:line="324"/>
        <w:ind w:firstLine="420"/>
      </w:pPr>
      <w:r>
        <w:rPr>
          <w:rFonts w:ascii="Calibri" w:hAnsi="Calibri" w:eastAsia="宋体"/>
          <w:b w:val="0"/>
          <w:sz w:val="22"/>
        </w:rPr>
        <w:t>首先，企业须登录国家医保服务平台网上服务大厅，进入药品和医用耗材招采管理系统。在系统内点击“服务规范”图标，选择“挂网申报规范”菜单下的“医用耗材挂网全国联审通办”模块。企业需按系统指引选择相关产品，如实填报各省挂网状态及价格等信息，并在申报省份中勾选“河南”，完成保存与提交。</w:t>
      </w:r>
    </w:p>
    <w:p>
      <w:pPr>
        <w:spacing w:lineRule="auto" w:line="324"/>
        <w:ind w:firstLine="420"/>
      </w:pPr>
      <w:r>
        <w:rPr>
          <w:rFonts w:ascii="Calibri" w:hAnsi="Calibri" w:eastAsia="宋体"/>
          <w:b w:val="0"/>
          <w:sz w:val="22"/>
        </w:rPr>
        <w:t>其次，在企业申报的挂网价格、价格来源省份等关键信息经各省核验通过后，企业需登录河南省医药集中采购平台（网址：https://ggfw.ylbz.henan.gov.cn/hsa-pass-hallEnter/index.html#/login?userType=0）。通过依次点击“耗材招标管理-耗材挂网申报管理-耗材阳光挂网申报(联审通办)”路径，完成后续挂网办理手续。该流程强化了跨省价格信息的联审机制，企业填报数据的准确性与各省核验进度将直接影响在豫挂网办理时效。</w:t>
      </w:r>
    </w:p>
    <w:p>
      <w:r>
        <w:rPr>
          <w:rFonts w:ascii="Calibri" w:hAnsi="Calibri" w:eastAsia="宋体"/>
          <w:b/>
          <w:color w:val="C00000"/>
          <w:sz w:val="22"/>
        </w:rPr>
        <w:t>自2026年6月1日起，相关企业须通过“医用耗材挂网全国联审通办”向我省提交医用耗材挂网申报。</w:t>
      </w:r>
    </w:p>
    <w:p>
      <w:r>
        <w:rPr>
          <w:rFonts w:ascii="Calibri" w:hAnsi="Calibri" w:eastAsia="宋体"/>
          <w:b/>
          <w:color w:val="C00000"/>
          <w:sz w:val="22"/>
        </w:rPr>
        <w:t>企业申报的挂网价格、价格来源省份等信息，经各省核验通过后，方可登录河南省医药集中采购平台办理后续手续。</w:t>
      </w:r>
    </w:p>
    <w:p>
      <w:pPr>
        <w:pStyle w:val="Heading1"/>
      </w:pPr>
      <w:r>
        <w:t>系统切换与过渡期安排</w:t>
      </w:r>
    </w:p>
    <w:p>
      <w:pPr>
        <w:spacing w:lineRule="auto" w:line="324"/>
        <w:ind w:firstLine="420"/>
      </w:pPr>
      <w:r>
        <w:rPr>
          <w:rFonts w:ascii="Calibri" w:hAnsi="Calibri" w:eastAsia="宋体"/>
          <w:b w:val="0"/>
          <w:sz w:val="22"/>
        </w:rPr>
        <w:t>为保障申报工作平稳过渡，通知对原省级平台功能及历史申报数据作出明确安排。</w:t>
      </w:r>
    </w:p>
    <w:p>
      <w:pPr>
        <w:spacing w:lineRule="auto" w:line="324"/>
        <w:ind w:firstLine="420"/>
      </w:pPr>
      <w:r>
        <w:rPr>
          <w:rFonts w:ascii="Calibri" w:hAnsi="Calibri" w:eastAsia="宋体"/>
          <w:b w:val="0"/>
          <w:sz w:val="22"/>
        </w:rPr>
        <w:t>河南省医药集中采购平台原“耗材阳光挂网”模块的申报功能自通知发布之日起（即2026年5月27日）正式关闭，该模块仅保留查询功能。企业后续所有新增挂网申报均不得再通过原省级入口提交。</w:t>
      </w:r>
    </w:p>
    <w:p>
      <w:pPr>
        <w:spacing w:lineRule="auto" w:line="324"/>
        <w:ind w:firstLine="420"/>
      </w:pPr>
      <w:r>
        <w:rPr>
          <w:rFonts w:ascii="Calibri" w:hAnsi="Calibri" w:eastAsia="宋体"/>
          <w:b w:val="0"/>
          <w:sz w:val="22"/>
        </w:rPr>
        <w:t>针对过渡期内的申报数据，文件明确2026年5月已申报挂网的产品继续按照原政策办理，不受本次流程调整影响。企业需核对5月份申报进度，确保已提交产品按原路径完成后续审核与挂网公示。</w:t>
      </w:r>
    </w:p>
    <w:p>
      <w:r>
        <w:rPr>
          <w:rFonts w:ascii="Calibri" w:hAnsi="Calibri" w:eastAsia="宋体"/>
          <w:b/>
          <w:color w:val="C00000"/>
          <w:sz w:val="22"/>
        </w:rPr>
        <w:t>我省医药集中采购平台原耗材阳光挂网模块申报功能即日起关闭，保留查询功能。</w:t>
      </w:r>
    </w:p>
    <w:p>
      <w:r>
        <w:rPr>
          <w:rFonts w:ascii="Calibri" w:hAnsi="Calibri" w:eastAsia="宋体"/>
          <w:b/>
          <w:color w:val="C00000"/>
          <w:sz w:val="22"/>
        </w:rPr>
        <w:t>2026年5月已申报挂网的产品按照原政策办理。</w:t>
      </w:r>
    </w:p>
    <w:p>
      <w:pPr>
        <w:pStyle w:val="Heading1"/>
      </w:pPr>
      <w:r>
        <w:t>调整影响与操作建议</w:t>
      </w:r>
    </w:p>
    <w:p>
      <w:pPr>
        <w:spacing w:lineRule="auto" w:line="324"/>
        <w:ind w:firstLine="420"/>
      </w:pPr>
      <w:r>
        <w:rPr>
          <w:rFonts w:ascii="Calibri" w:hAnsi="Calibri" w:eastAsia="宋体"/>
          <w:b w:val="0"/>
          <w:sz w:val="22"/>
        </w:rPr>
        <w:t>本次流程调整旨在全面对接国家医保服务平台“医用耗材挂网全国联审通办”机制，实现跨省挂网价格信息的统一核验与共享。</w:t>
      </w:r>
    </w:p>
    <w:p>
      <w:pPr>
        <w:spacing w:lineRule="auto" w:line="324"/>
        <w:ind w:firstLine="420"/>
      </w:pPr>
      <w:r>
        <w:rPr>
          <w:rFonts w:ascii="Calibri" w:hAnsi="Calibri" w:eastAsia="宋体"/>
          <w:b w:val="0"/>
          <w:sz w:val="22"/>
        </w:rPr>
        <w:t>对企业而言，申报入口的迁移意味着需同步适应国家平台的数据填报规范。跨省价格核验环节的增加，要求企业确保各省挂网状态及价格数据的一致性，任何信息偏差均可能导致核验不通过，进而影响在豫挂网进度。</w:t>
      </w:r>
    </w:p>
    <w:p>
      <w:pPr>
        <w:spacing w:lineRule="auto" w:line="324"/>
        <w:ind w:firstLine="420"/>
      </w:pPr>
      <w:r>
        <w:rPr>
          <w:rFonts w:ascii="Calibri" w:hAnsi="Calibri" w:eastAsia="宋体"/>
          <w:b w:val="0"/>
          <w:sz w:val="22"/>
        </w:rPr>
        <w:t>针对操作衔接，建议企业提前在国家医保服务平台完成账号权限配置与系统测试；在填报过程中严格对照各省实际挂网公示数据。同时，原省级平台虽关闭申报功能，但查询功能持续开放，企业可继续利用该模块跟踪历史申报状态与已挂网产品信息。</w:t>
      </w:r>
    </w:p>
    <w:p>
      <w:pPr>
        <w:pStyle w:val="Heading1"/>
      </w:pPr>
      <w:r>
        <w:t>企业关注点</w:t>
      </w:r>
    </w:p>
    <w:p>
      <w:pPr>
        <w:spacing w:lineRule="auto" w:line="324"/>
        <w:ind w:firstLine="420"/>
      </w:pPr>
      <w:r>
        <w:rPr>
          <w:rFonts w:ascii="Calibri" w:hAnsi="Calibri" w:eastAsia="宋体"/>
          <w:b w:val="0"/>
          <w:sz w:val="22"/>
        </w:rPr>
        <w:t>企业需于2026年6月1日前完成国家医保服务平台相关账号权限配置及“医用耗材挂网全国联审通办”模块操作测试。</w:t>
      </w:r>
    </w:p>
    <w:p>
      <w:pPr>
        <w:spacing w:lineRule="auto" w:line="324"/>
        <w:ind w:firstLine="420"/>
      </w:pPr>
      <w:r>
        <w:rPr>
          <w:rFonts w:ascii="Calibri" w:hAnsi="Calibri" w:eastAsia="宋体"/>
          <w:b w:val="0"/>
          <w:sz w:val="22"/>
        </w:rPr>
        <w:t>跨省价格信息填报需与各省实际挂网数据保持一致，核验不通过将导致无法进入河南省平台后续办理环节。</w:t>
      </w:r>
    </w:p>
    <w:p>
      <w:pPr>
        <w:spacing w:lineRule="auto" w:line="324"/>
        <w:ind w:firstLine="420"/>
      </w:pPr>
      <w:r>
        <w:rPr>
          <w:rFonts w:ascii="Calibri" w:hAnsi="Calibri" w:eastAsia="宋体"/>
          <w:b w:val="0"/>
          <w:sz w:val="22"/>
        </w:rPr>
        <w:t>原省级平台申报入口已关闭，5月后新增申报务必严格遵循“国家联审通办填报+省级平台确认”的新路径。</w:t>
      </w:r>
    </w:p>
    <w:p>
      <w:pPr>
        <w:spacing w:before="240" w:after="160"/>
        <w:jc w:val="center"/>
      </w:pPr>
      <w:r>
        <w:rPr>
          <w:rFonts w:ascii="KaiTi" w:hAnsi="KaiTi" w:eastAsia="楷体"/>
          <w:b/>
          <w:sz w:val="44"/>
        </w:rPr>
        <w:t>声  明</w:t>
      </w:r>
    </w:p>
    <w:p>
      <w:pPr>
        <w:spacing w:lineRule="auto" w:line="324"/>
        <w:ind w:firstLine="420"/>
      </w:pPr>
      <w:r>
        <w:rPr>
          <w:rFonts w:ascii="SimSun" w:hAnsi="SimSun" w:eastAsia="宋体"/>
          <w:sz w:val="32"/>
        </w:rPr>
        <w:t>本文基于互联网公开资料进行整理，目的在于传递分享信息，仅供读者参考之用。本网站不保证信息的准确性、有效性、及时性和完整性。本公司及其雇员一概毋须以任何方式就任何信息传递或传送的失误、不准确或错误，对用户或任何其他人士负任何直接或间接责任。在法律允许的范围内，本公司在此声明，不承担用户或任何人士就使用或未能使用本网站所提供的信息或任何链接所引致的任何直接、间接、附带、从属、特殊、惩罚性或惩戒性的损害赔偿。</w:t>
      </w:r>
    </w:p>
    <w:sectPr w:rsidR="00FC693F" w:rsidRPr="0006063C" w:rsidSect="00034616">
      <w:headerReference w:type="default" r:id="rId9"/>
      <w:footerReference w:type="default" r:id="rId10"/>
      <w:pgSz w:w="11906" w:h="16838"/>
      <w:pgMar w:top="1247"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宋体"/>
        <w:color w:val="787878"/>
        <w:sz w:val="18"/>
      </w:rPr>
      <w:t xml:space="preserve">生成日期: 2026-05-27  |  第 </w:t>
    </w:r>
    <w:r>
      <w:rPr>
        <w:rFonts w:ascii="Calibri" w:hAnsi="Calibri" w:eastAsia="宋体"/>
        <w:color w:val="787878"/>
        <w:sz w:val="18"/>
      </w:rPr>
      <w:fldChar w:fldCharType="begin"/>
      <w:instrText xml:space="preserve">PAGE</w:instrText>
      <w:fldChar w:fldCharType="end"/>
    </w:r>
    <w:r>
      <w:rPr>
        <w:rFonts w:ascii="Calibri" w:hAnsi="Calibri" w:eastAsia="宋体"/>
        <w:color w:val="787878"/>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libri" w:hAnsi="Calibri" w:eastAsia="宋体"/>
        <w:color w:val="787878"/>
        <w:sz w:val="18"/>
      </w:rPr>
      <w:t>关于调整医用耗材申报挂网操作流程的通知</w:t>
    </w:r>
    <w:r>
      <w:pict>
        <v:shape id="PowerPlusWaterMarkObject" o:spid="_x0000_s1025" type="#_x0000_t136" style="position:absolute;margin-left:0;margin-top:0;width:420pt;height:120pt;rotation:315;z-index:-251654144;mso-position-horizontal:center;mso-position-vertical:center" fillcolor="#d9d9d9" stroked="f">
          <v:fill opacity=".12"/>
          <v:textpath style="font-family:宋体;font-size:1pt" string="易联器械"/>
        </v:shape>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24" w:after="120"/>
    </w:pPr>
    <w:rPr>
      <w:rFonts w:ascii="Calibri" w:hAnsi="Calibri"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宋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宋体"/>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