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河南省调整医用耗材申报挂网操作流程分析</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2026年5月27日，河南省公共资源交易中心发布《关于调整医用耗材申报挂网操作流程的通知》（豫公共资源药采函〔2026〕96号）。按照《河南省公共资源交易中心 河南省医疗保障局关于规范医用耗材挂网价格信息工作的通知》（豫公共资源药采〔2026〕8号）要求，自2026年6月1日起，相关企业须通过“医用耗材挂网全国联审通办”向河南省提交医用耗材挂网申报。本次调整主要涉及申报入口迁移、跨省信息核验流程及省级平台操作路径的变更。</w:t>
      </w:r>
    </w:p>
    <w:p>
      <w:pPr>
        <w:pStyle w:val="Heading1"/>
      </w:pPr>
      <w:r>
        <w:t>核心调整内容</w:t>
      </w:r>
    </w:p>
    <w:p>
      <w:pPr>
        <w:spacing w:lineRule="auto" w:line="324"/>
        <w:ind w:firstLine="420"/>
      </w:pPr>
      <w:r>
        <w:rPr>
          <w:rFonts w:ascii="Calibri" w:hAnsi="Calibri" w:eastAsia="宋体"/>
          <w:b w:val="0"/>
          <w:sz w:val="22"/>
        </w:rPr>
        <w:t>本次流程调整的核心在于申报入口迁移与跨省信息核验机制的引入。自2026年6月1日起，医用耗材挂网申报入口由省级平台统一迁移至国家医保服务平台“医用耗材挂网全国联审通办”模块。</w:t>
      </w:r>
    </w:p>
    <w:p>
      <w:pPr>
        <w:spacing w:lineRule="auto" w:line="324"/>
        <w:ind w:firstLine="420"/>
      </w:pPr>
      <w:r>
        <w:rPr>
          <w:rFonts w:ascii="Calibri" w:hAnsi="Calibri" w:eastAsia="宋体"/>
          <w:b w:val="0"/>
          <w:sz w:val="22"/>
        </w:rPr>
        <w:t>新增跨省核验环节，企业填报的挂网价格及价格来源省份等信息，须经各省核验通过后方可进入省级平台办理流程。同时，河南省医药集中采购平台原耗材阳光挂网模块申报功能即日起关闭，仅保留查询功能。</w:t>
      </w:r>
    </w:p>
    <w:p>
      <w:r>
        <w:rPr>
          <w:rFonts w:ascii="Calibri" w:hAnsi="Calibri" w:eastAsia="宋体"/>
          <w:b/>
          <w:color w:val="C00000"/>
          <w:sz w:val="22"/>
        </w:rPr>
        <w:t>自2026年6月1日起，申报入口迁移至国家医保服务平台“医用耗材挂网全国联审通办”模块。</w:t>
      </w:r>
    </w:p>
    <w:p>
      <w:r>
        <w:rPr>
          <w:rFonts w:ascii="Calibri" w:hAnsi="Calibri" w:eastAsia="宋体"/>
          <w:b/>
          <w:color w:val="C00000"/>
          <w:sz w:val="22"/>
        </w:rPr>
        <w:t>新增跨省信息核验环节，挂网价格及来源省份信息须经各省核验通过后方可进入省级办理流程。</w:t>
      </w:r>
    </w:p>
    <w:p>
      <w:pPr>
        <w:pStyle w:val="Heading1"/>
      </w:pPr>
      <w:r>
        <w:t>申报路径与操作要求</w:t>
      </w:r>
    </w:p>
    <w:p>
      <w:pPr>
        <w:spacing w:lineRule="auto" w:line="324"/>
        <w:ind w:firstLine="420"/>
      </w:pPr>
      <w:r>
        <w:rPr>
          <w:rFonts w:ascii="Calibri" w:hAnsi="Calibri" w:eastAsia="宋体"/>
          <w:b w:val="0"/>
          <w:sz w:val="22"/>
        </w:rPr>
        <w:t>根据通知要求，医用耗材挂网申报流程分为国家平台填报与省级平台办理两个阶段。企业首先须登录国家医保服务平台网上服务大厅，进入药品和医用耗材招采管理系统，点击“服务规范”图标，选择“挂网申报规范”菜单之下的“医用耗材挂网全国联审通办”。</w:t>
      </w:r>
    </w:p>
    <w:p>
      <w:pPr>
        <w:spacing w:lineRule="auto" w:line="324"/>
        <w:ind w:firstLine="420"/>
      </w:pPr>
      <w:r>
        <w:rPr>
          <w:rFonts w:ascii="Calibri" w:hAnsi="Calibri" w:eastAsia="宋体"/>
          <w:b w:val="0"/>
          <w:sz w:val="22"/>
        </w:rPr>
        <w:t>在联审通办模块中，企业需按系统要求选择相关产品，填报各省挂网和价格等信息，选择“河南”作为申报挂网省份后，保存并提交。</w:t>
      </w:r>
    </w:p>
    <w:p>
      <w:pPr>
        <w:spacing w:lineRule="auto" w:line="324"/>
        <w:ind w:firstLine="420"/>
      </w:pPr>
      <w:r>
        <w:rPr>
          <w:rFonts w:ascii="Calibri" w:hAnsi="Calibri" w:eastAsia="宋体"/>
          <w:b w:val="0"/>
          <w:sz w:val="22"/>
        </w:rPr>
        <w:t>企业申报的挂网价格、价格来源省份等信息经各省核验通过后，需登录河南省医药集中采购平台（网址：https://ggfw.ylbz.henan.gov.cn/hsa-pass-hallEnter/index.html#/login?userType=0），通过依次点击“耗材招标管理-耗材挂网申报管理-耗材阳光挂网申报(联审通办)”路径完成后续办理。</w:t>
      </w:r>
    </w:p>
    <w:p>
      <w:r>
        <w:rPr>
          <w:rFonts w:ascii="Calibri" w:hAnsi="Calibri" w:eastAsia="宋体"/>
          <w:b/>
          <w:color w:val="C00000"/>
          <w:sz w:val="22"/>
        </w:rPr>
        <w:t>企业需在国家平台完成产品选择、各省挂网及价格信息填报，并选择“河南”提交。</w:t>
      </w:r>
    </w:p>
    <w:p>
      <w:r>
        <w:rPr>
          <w:rFonts w:ascii="Calibri" w:hAnsi="Calibri" w:eastAsia="宋体"/>
          <w:b/>
          <w:color w:val="C00000"/>
          <w:sz w:val="22"/>
        </w:rPr>
        <w:t>跨省核验通过后，企业须通过河南省医药集中采购平台指定路径完成后续办理。</w:t>
      </w:r>
    </w:p>
    <w:p>
      <w:pPr>
        <w:pStyle w:val="Heading1"/>
      </w:pPr>
      <w:r>
        <w:t>影响分析与操作建议</w:t>
      </w:r>
    </w:p>
    <w:p>
      <w:pPr>
        <w:spacing w:lineRule="auto" w:line="324"/>
        <w:ind w:firstLine="420"/>
      </w:pPr>
      <w:r>
        <w:rPr>
          <w:rFonts w:ascii="Calibri" w:hAnsi="Calibri" w:eastAsia="宋体"/>
          <w:b w:val="0"/>
          <w:sz w:val="22"/>
        </w:rPr>
        <w:t>本次调整将申报入口上收至国家平台并引入跨省核验，对企业数据填报的准确性与一致性提出更高要求。企业需提前核对各省挂网数据，避免因信息差异导致核验不通过，进而延误省级平台办理进度。</w:t>
      </w:r>
    </w:p>
    <w:p>
      <w:pPr>
        <w:spacing w:lineRule="auto" w:line="324"/>
        <w:ind w:firstLine="420"/>
      </w:pPr>
      <w:r>
        <w:rPr>
          <w:rFonts w:ascii="Calibri" w:hAnsi="Calibri" w:eastAsia="宋体"/>
          <w:b w:val="0"/>
          <w:sz w:val="22"/>
        </w:rPr>
        <w:t>针对系统切换过渡期，原省级平台申报功能已关闭，新增申报将完全依赖联审通办路径。企业应尽快完成国家医保服务平台账号权限配置，熟悉新系统界面。2026年5月已申报挂网的产品仍按原政策办理，企业可按原路径跟进审核进度，无需重复提交。</w:t>
      </w:r>
    </w:p>
    <w:p>
      <w:r>
        <w:rPr>
          <w:rFonts w:ascii="Calibri" w:hAnsi="Calibri" w:eastAsia="宋体"/>
          <w:b/>
          <w:color w:val="C00000"/>
          <w:sz w:val="22"/>
        </w:rPr>
        <w:t>跨省核验机制要求企业确保填报数据与各省实际挂网信息一致。</w:t>
      </w:r>
    </w:p>
    <w:p>
      <w:r>
        <w:rPr>
          <w:rFonts w:ascii="Calibri" w:hAnsi="Calibri" w:eastAsia="宋体"/>
          <w:b/>
          <w:color w:val="C00000"/>
          <w:sz w:val="22"/>
        </w:rPr>
        <w:t>2026年5月已申报产品按原政策办理，新增申报须严格遵循联审通办路径。</w:t>
      </w:r>
    </w:p>
    <w:p>
      <w:pPr>
        <w:pStyle w:val="Heading1"/>
      </w:pPr>
      <w:r>
        <w:t>企业关注点</w:t>
      </w:r>
    </w:p>
    <w:p>
      <w:pPr>
        <w:spacing w:lineRule="auto" w:line="324"/>
        <w:ind w:firstLine="420"/>
      </w:pPr>
      <w:r>
        <w:rPr>
          <w:rFonts w:ascii="Calibri" w:hAnsi="Calibri" w:eastAsia="宋体"/>
          <w:b w:val="0"/>
          <w:sz w:val="22"/>
        </w:rPr>
        <w:t>企业需于2026年6月1日前完成国家医保服务平台相关账号权限配置，熟悉“医用耗材挂网全国联审通办”填报界面。</w:t>
      </w:r>
    </w:p>
    <w:p>
      <w:pPr>
        <w:spacing w:lineRule="auto" w:line="324"/>
        <w:ind w:firstLine="420"/>
      </w:pPr>
      <w:r>
        <w:rPr>
          <w:rFonts w:ascii="Calibri" w:hAnsi="Calibri" w:eastAsia="宋体"/>
          <w:b w:val="0"/>
          <w:sz w:val="22"/>
        </w:rPr>
        <w:t>申报挂网价格及来源省份信息需经跨省核验，企业应确保填报数据与各省实际挂网信息一致，避免因核验不通过影响省级平台办理进度。</w:t>
      </w:r>
    </w:p>
    <w:p>
      <w:pPr>
        <w:spacing w:lineRule="auto" w:line="324"/>
        <w:ind w:firstLine="420"/>
      </w:pPr>
      <w:r>
        <w:rPr>
          <w:rFonts w:ascii="Calibri" w:hAnsi="Calibri" w:eastAsia="宋体"/>
          <w:b w:val="0"/>
          <w:sz w:val="22"/>
        </w:rPr>
        <w:t>原省级平台耗材阳光挂网模块申报功能已关闭，后续新增申报需严格遵循联审通办路径，历史申报数据可通过原模块查询功能跟进。</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