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深圳公共资源交易中心关于开展广东省麻醉管路等三类医用耗材带量联动采购的公告</w:t>
      </w:r>
    </w:p>
    <w:p>
      <w:pPr>
        <w:spacing w:lineRule="auto" w:line="324"/>
        <w:ind w:firstLine="420"/>
      </w:pPr>
      <w:r>
        <w:rPr>
          <w:rFonts w:ascii="Calibri" w:hAnsi="Calibri" w:eastAsia="宋体"/>
          <w:b w:val="0"/>
          <w:sz w:val="22"/>
        </w:rPr>
        <w:t>2026年5月31日，深圳公共资源交易中心发布公告，开展广东省麻醉管路、一次性使用有创血压传感器、医用高分子夹板三类医用耗材的带量联动采购。本次采购周期为两年，采购主体为广东省公立医疗机构（含军队医疗机构），医保定点社会办医疗机构可自愿参加。</w:t>
      </w:r>
    </w:p>
    <w:p>
      <w:pPr>
        <w:pStyle w:val="Heading1"/>
      </w:pPr>
      <w:r>
        <w:t>一、采购品种与产品分类</w:t>
      </w:r>
    </w:p>
    <w:p>
      <w:pPr>
        <w:spacing w:lineRule="auto" w:line="324"/>
        <w:ind w:firstLine="420"/>
      </w:pPr>
      <w:r>
        <w:rPr>
          <w:rFonts w:ascii="Calibri" w:hAnsi="Calibri" w:eastAsia="宋体"/>
          <w:b w:val="0"/>
          <w:sz w:val="22"/>
        </w:rPr>
        <w:t>本次带量联动采购品种为麻醉管路、一次性使用有创血压传感器、医用高分子夹板。</w:t>
      </w:r>
    </w:p>
    <w:p>
      <w:pPr>
        <w:spacing w:lineRule="auto" w:line="324"/>
        <w:ind w:firstLine="420"/>
      </w:pPr>
      <w:r>
        <w:rPr>
          <w:rFonts w:ascii="Calibri" w:hAnsi="Calibri" w:eastAsia="宋体"/>
          <w:b w:val="0"/>
          <w:sz w:val="22"/>
        </w:rPr>
        <w:t>麻醉管路通常由塑料或硅橡胶材料制成，用于麻醉机与面罩或气管插管等器械之间的气路连接，包含但不限于国家医保耗材分类代码前10位为C141004247和C140202000的产品，产品须含管路（Y型接头）、储气囊等组件。</w:t>
      </w:r>
    </w:p>
    <w:p>
      <w:pPr>
        <w:spacing w:lineRule="auto" w:line="324"/>
        <w:ind w:firstLine="420"/>
      </w:pPr>
      <w:r>
        <w:rPr>
          <w:rFonts w:ascii="Calibri" w:hAnsi="Calibri" w:eastAsia="宋体"/>
          <w:b w:val="0"/>
          <w:sz w:val="22"/>
        </w:rPr>
        <w:t>一次性使用有创血压传感器通常由血压传感器和血压传输管路组成，与有创血压监护主机配合使用，用于动、静脉压测量，包含但不限于国家医保耗材分类代码前10位为C141611004的产品。带密闭采血装置以及同时具备心排量监测功能的一次性使用有创血压传感器不在本次采购范围。</w:t>
      </w:r>
    </w:p>
    <w:p>
      <w:pPr>
        <w:spacing w:lineRule="auto" w:line="324"/>
        <w:ind w:firstLine="420"/>
      </w:pPr>
      <w:r>
        <w:rPr>
          <w:rFonts w:ascii="Calibri" w:hAnsi="Calibri" w:eastAsia="宋体"/>
          <w:b w:val="0"/>
          <w:sz w:val="22"/>
        </w:rPr>
        <w:t>医用高分子夹板通常采用玻璃纤维、聚酯纤维等高分子材料、铝合金、石膏粉、纱布、非织造布等制成，用于骨折或软组织等损伤的外固定，一次性使用，不与体内使用的医疗器械连接，包含但不限于国家医保耗材分类代码前10位为C031609080的产品。可重复塑形的医用高分子夹板不在本次采购范围。</w:t>
      </w:r>
    </w:p>
    <w:p>
      <w:r>
        <w:rPr>
          <w:rFonts w:ascii="Calibri" w:hAnsi="Calibri" w:eastAsia="宋体"/>
          <w:b/>
          <w:sz w:val="20"/>
        </w:rPr>
        <w:t>麻醉管路和一次性使用有创血压传感器产品分类及最高有效申报价</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序号</w:t>
            </w:r>
          </w:p>
        </w:tc>
        <w:tc>
          <w:tcPr>
            <w:tcW w:type="dxa" w:w="1837"/>
            <w:vAlign w:val="center"/>
            <w:shd w:fill="D9EAF7"/>
          </w:tcPr>
          <w:p>
            <w:pPr>
              <w:jc w:val="center"/>
            </w:pPr>
            <w:r>
              <w:rPr>
                <w:rFonts w:ascii="Calibri" w:hAnsi="Calibri" w:eastAsia="宋体"/>
                <w:b/>
                <w:sz w:val="20"/>
              </w:rPr>
              <w:t>采购品种</w:t>
            </w:r>
          </w:p>
        </w:tc>
        <w:tc>
          <w:tcPr>
            <w:tcW w:type="dxa" w:w="1837"/>
            <w:vAlign w:val="center"/>
            <w:shd w:fill="D9EAF7"/>
          </w:tcPr>
          <w:p>
            <w:pPr>
              <w:jc w:val="center"/>
            </w:pPr>
            <w:r>
              <w:rPr>
                <w:rFonts w:ascii="Calibri" w:hAnsi="Calibri" w:eastAsia="宋体"/>
                <w:b/>
                <w:sz w:val="20"/>
              </w:rPr>
              <w:t>类别</w:t>
            </w:r>
          </w:p>
        </w:tc>
        <w:tc>
          <w:tcPr>
            <w:tcW w:type="dxa" w:w="1837"/>
            <w:vAlign w:val="center"/>
            <w:shd w:fill="D9EAF7"/>
          </w:tcPr>
          <w:p>
            <w:pPr>
              <w:jc w:val="center"/>
            </w:pPr>
            <w:r>
              <w:rPr>
                <w:rFonts w:ascii="Calibri" w:hAnsi="Calibri" w:eastAsia="宋体"/>
                <w:b/>
                <w:sz w:val="20"/>
              </w:rPr>
              <w:t>类别名称</w:t>
            </w:r>
          </w:p>
        </w:tc>
        <w:tc>
          <w:tcPr>
            <w:tcW w:type="dxa" w:w="1837"/>
            <w:vAlign w:val="center"/>
            <w:shd w:fill="D9EAF7"/>
          </w:tcPr>
          <w:p>
            <w:pPr>
              <w:jc w:val="center"/>
            </w:pPr>
            <w:r>
              <w:rPr>
                <w:rFonts w:ascii="Calibri" w:hAnsi="Calibri" w:eastAsia="宋体"/>
                <w:b/>
                <w:sz w:val="20"/>
              </w:rPr>
              <w:t>最高有效申报价（P0）</w:t>
            </w:r>
          </w:p>
        </w:tc>
      </w:tr>
      <w:tr>
        <w:tc>
          <w:tcPr>
            <w:tcW w:type="dxa" w:w="1837"/>
            <w:vAlign w:val="center"/>
          </w:tcPr>
          <w:p>
            <w:pPr>
              <w:jc w:val="center"/>
            </w:pPr>
            <w:r>
              <w:rPr>
                <w:rFonts w:ascii="Calibri" w:hAnsi="Calibri" w:eastAsia="宋体"/>
                <w:sz w:val="20"/>
              </w:rPr>
              <w:t>1</w:t>
            </w:r>
          </w:p>
        </w:tc>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1类</w:t>
            </w:r>
          </w:p>
        </w:tc>
        <w:tc>
          <w:tcPr>
            <w:tcW w:type="dxa" w:w="1837"/>
            <w:vAlign w:val="center"/>
          </w:tcPr>
          <w:p>
            <w:r>
              <w:rPr>
                <w:rFonts w:ascii="Calibri" w:hAnsi="Calibri" w:eastAsia="宋体"/>
                <w:sz w:val="20"/>
              </w:rPr>
              <w:t>可伸缩型</w:t>
            </w:r>
          </w:p>
        </w:tc>
        <w:tc>
          <w:tcPr>
            <w:tcW w:type="dxa" w:w="1837"/>
            <w:vAlign w:val="center"/>
          </w:tcPr>
          <w:p>
            <w:r>
              <w:rPr>
                <w:rFonts w:ascii="Calibri" w:hAnsi="Calibri" w:eastAsia="宋体"/>
                <w:sz w:val="20"/>
              </w:rPr>
              <w:t>33元/根</w:t>
            </w:r>
          </w:p>
        </w:tc>
      </w:tr>
      <w:tr>
        <w:tc>
          <w:tcPr>
            <w:tcW w:type="dxa" w:w="1837"/>
            <w:vAlign w:val="center"/>
          </w:tcPr>
          <w:p>
            <w:pPr>
              <w:jc w:val="center"/>
            </w:pPr>
            <w:r>
              <w:rPr>
                <w:rFonts w:ascii="Calibri" w:hAnsi="Calibri" w:eastAsia="宋体"/>
                <w:sz w:val="20"/>
              </w:rPr>
              <w:t>2</w:t>
            </w:r>
          </w:p>
        </w:tc>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2类</w:t>
            </w:r>
          </w:p>
        </w:tc>
        <w:tc>
          <w:tcPr>
            <w:tcW w:type="dxa" w:w="1837"/>
            <w:vAlign w:val="center"/>
          </w:tcPr>
          <w:p>
            <w:r>
              <w:rPr>
                <w:rFonts w:ascii="Calibri" w:hAnsi="Calibri" w:eastAsia="宋体"/>
                <w:sz w:val="20"/>
              </w:rPr>
              <w:t>不可伸缩型</w:t>
            </w:r>
          </w:p>
        </w:tc>
        <w:tc>
          <w:tcPr>
            <w:tcW w:type="dxa" w:w="1837"/>
            <w:vAlign w:val="center"/>
          </w:tcPr>
          <w:p>
            <w:r>
              <w:rPr>
                <w:rFonts w:ascii="Calibri" w:hAnsi="Calibri" w:eastAsia="宋体"/>
                <w:sz w:val="20"/>
              </w:rPr>
              <w:t>33元/根</w:t>
            </w:r>
          </w:p>
        </w:tc>
      </w:tr>
      <w:tr>
        <w:tc>
          <w:tcPr>
            <w:tcW w:type="dxa" w:w="1837"/>
            <w:vAlign w:val="center"/>
          </w:tcPr>
          <w:p>
            <w:pPr>
              <w:jc w:val="center"/>
            </w:pPr>
            <w:r>
              <w:rPr>
                <w:rFonts w:ascii="Calibri" w:hAnsi="Calibri" w:eastAsia="宋体"/>
                <w:sz w:val="20"/>
              </w:rPr>
              <w:t>3</w:t>
            </w:r>
          </w:p>
        </w:tc>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3类</w:t>
            </w:r>
          </w:p>
        </w:tc>
        <w:tc>
          <w:tcPr>
            <w:tcW w:type="dxa" w:w="1837"/>
            <w:vAlign w:val="center"/>
          </w:tcPr>
          <w:p>
            <w:r>
              <w:rPr>
                <w:rFonts w:ascii="Calibri" w:hAnsi="Calibri" w:eastAsia="宋体"/>
                <w:sz w:val="20"/>
              </w:rPr>
              <w:t>单头</w:t>
            </w:r>
          </w:p>
        </w:tc>
        <w:tc>
          <w:tcPr>
            <w:tcW w:type="dxa" w:w="1837"/>
            <w:vAlign w:val="center"/>
          </w:tcPr>
          <w:p>
            <w:r>
              <w:rPr>
                <w:rFonts w:ascii="Calibri" w:hAnsi="Calibri" w:eastAsia="宋体"/>
                <w:sz w:val="20"/>
              </w:rPr>
              <w:t>103元/根</w:t>
            </w:r>
          </w:p>
        </w:tc>
      </w:tr>
      <w:tr>
        <w:tc>
          <w:tcPr>
            <w:tcW w:type="dxa" w:w="1837"/>
            <w:vAlign w:val="center"/>
          </w:tcPr>
          <w:p>
            <w:pPr>
              <w:jc w:val="center"/>
            </w:pPr>
            <w:r>
              <w:rPr>
                <w:rFonts w:ascii="Calibri" w:hAnsi="Calibri" w:eastAsia="宋体"/>
                <w:sz w:val="20"/>
              </w:rPr>
              <w:t>4</w:t>
            </w:r>
          </w:p>
        </w:tc>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4类</w:t>
            </w:r>
          </w:p>
        </w:tc>
        <w:tc>
          <w:tcPr>
            <w:tcW w:type="dxa" w:w="1837"/>
            <w:vAlign w:val="center"/>
          </w:tcPr>
          <w:p>
            <w:r>
              <w:rPr>
                <w:rFonts w:ascii="Calibri" w:hAnsi="Calibri" w:eastAsia="宋体"/>
                <w:sz w:val="20"/>
              </w:rPr>
              <w:t>双头</w:t>
            </w:r>
          </w:p>
        </w:tc>
        <w:tc>
          <w:tcPr>
            <w:tcW w:type="dxa" w:w="1837"/>
            <w:vAlign w:val="center"/>
          </w:tcPr>
          <w:p>
            <w:r>
              <w:rPr>
                <w:rFonts w:ascii="Calibri" w:hAnsi="Calibri" w:eastAsia="宋体"/>
                <w:sz w:val="20"/>
              </w:rPr>
              <w:t>154元/根</w:t>
            </w:r>
          </w:p>
        </w:tc>
      </w:tr>
      <w:tr>
        <w:tc>
          <w:tcPr>
            <w:tcW w:type="dxa" w:w="1837"/>
            <w:vAlign w:val="center"/>
          </w:tcPr>
          <w:p>
            <w:pPr>
              <w:jc w:val="center"/>
            </w:pPr>
            <w:r>
              <w:rPr>
                <w:rFonts w:ascii="Calibri" w:hAnsi="Calibri" w:eastAsia="宋体"/>
                <w:sz w:val="20"/>
              </w:rPr>
              <w:t>5</w:t>
            </w:r>
          </w:p>
        </w:tc>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5类</w:t>
            </w:r>
          </w:p>
        </w:tc>
        <w:tc>
          <w:tcPr>
            <w:tcW w:type="dxa" w:w="1837"/>
            <w:vAlign w:val="center"/>
          </w:tcPr>
          <w:p>
            <w:r>
              <w:rPr>
                <w:rFonts w:ascii="Calibri" w:hAnsi="Calibri" w:eastAsia="宋体"/>
                <w:sz w:val="20"/>
              </w:rPr>
              <w:t>三头</w:t>
            </w:r>
          </w:p>
        </w:tc>
        <w:tc>
          <w:tcPr>
            <w:tcW w:type="dxa" w:w="1837"/>
            <w:vAlign w:val="center"/>
          </w:tcPr>
          <w:p>
            <w:r>
              <w:rPr>
                <w:rFonts w:ascii="Calibri" w:hAnsi="Calibri" w:eastAsia="宋体"/>
                <w:sz w:val="20"/>
              </w:rPr>
              <w:t>199元/根</w:t>
            </w:r>
          </w:p>
        </w:tc>
      </w:tr>
    </w:tbl>
    <w:p/>
    <w:p>
      <w:r>
        <w:rPr>
          <w:rFonts w:ascii="Calibri" w:hAnsi="Calibri" w:eastAsia="宋体"/>
          <w:b/>
          <w:sz w:val="20"/>
        </w:rPr>
        <w:t>医用高分子夹板产品分类及参考价</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序号</w:t>
            </w:r>
          </w:p>
        </w:tc>
        <w:tc>
          <w:tcPr>
            <w:tcW w:type="dxa" w:w="1837"/>
            <w:vAlign w:val="center"/>
            <w:shd w:fill="D9EAF7"/>
          </w:tcPr>
          <w:p>
            <w:pPr>
              <w:jc w:val="center"/>
            </w:pPr>
            <w:r>
              <w:rPr>
                <w:rFonts w:ascii="Calibri" w:hAnsi="Calibri" w:eastAsia="宋体"/>
                <w:b/>
                <w:sz w:val="20"/>
              </w:rPr>
              <w:t>采购品种</w:t>
            </w:r>
          </w:p>
        </w:tc>
        <w:tc>
          <w:tcPr>
            <w:tcW w:type="dxa" w:w="1837"/>
            <w:vAlign w:val="center"/>
            <w:shd w:fill="D9EAF7"/>
          </w:tcPr>
          <w:p>
            <w:pPr>
              <w:jc w:val="center"/>
            </w:pPr>
            <w:r>
              <w:rPr>
                <w:rFonts w:ascii="Calibri" w:hAnsi="Calibri" w:eastAsia="宋体"/>
                <w:b/>
                <w:sz w:val="20"/>
              </w:rPr>
              <w:t>类别</w:t>
            </w:r>
          </w:p>
        </w:tc>
        <w:tc>
          <w:tcPr>
            <w:tcW w:type="dxa" w:w="1837"/>
            <w:vAlign w:val="center"/>
            <w:shd w:fill="D9EAF7"/>
          </w:tcPr>
          <w:p>
            <w:pPr>
              <w:jc w:val="center"/>
            </w:pPr>
            <w:r>
              <w:rPr>
                <w:rFonts w:ascii="Calibri" w:hAnsi="Calibri" w:eastAsia="宋体"/>
                <w:b/>
                <w:sz w:val="20"/>
              </w:rPr>
              <w:t>类别名称</w:t>
            </w:r>
          </w:p>
        </w:tc>
        <w:tc>
          <w:tcPr>
            <w:tcW w:type="dxa" w:w="1837"/>
            <w:vAlign w:val="center"/>
            <w:shd w:fill="D9EAF7"/>
          </w:tcPr>
          <w:p>
            <w:pPr>
              <w:jc w:val="center"/>
            </w:pPr>
            <w:r>
              <w:rPr>
                <w:rFonts w:ascii="Calibri" w:hAnsi="Calibri" w:eastAsia="宋体"/>
                <w:b/>
                <w:sz w:val="20"/>
              </w:rPr>
              <w:t>参考价</w:t>
            </w:r>
          </w:p>
        </w:tc>
      </w:tr>
      <w:tr>
        <w:tc>
          <w:tcPr>
            <w:tcW w:type="dxa" w:w="1837"/>
            <w:vAlign w:val="center"/>
          </w:tcPr>
          <w:p>
            <w:pPr>
              <w:jc w:val="center"/>
            </w:pPr>
            <w:r>
              <w:rPr>
                <w:rFonts w:ascii="Calibri" w:hAnsi="Calibri" w:eastAsia="宋体"/>
                <w:sz w:val="20"/>
              </w:rPr>
              <w:t>1</w:t>
            </w:r>
          </w:p>
        </w:tc>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6类</w:t>
            </w:r>
          </w:p>
        </w:tc>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0.04元/平方厘米（cm²）</w:t>
            </w:r>
          </w:p>
        </w:tc>
      </w:tr>
    </w:tbl>
    <w:p/>
    <w:p>
      <w:pPr>
        <w:pStyle w:val="Heading1"/>
      </w:pPr>
      <w:r>
        <w:t>二、申报要求</w:t>
      </w:r>
    </w:p>
    <w:p>
      <w:pPr>
        <w:spacing w:lineRule="auto" w:line="324"/>
        <w:ind w:firstLine="420"/>
      </w:pPr>
      <w:r>
        <w:rPr>
          <w:rFonts w:ascii="Calibri" w:hAnsi="Calibri" w:eastAsia="宋体"/>
          <w:b w:val="0"/>
          <w:sz w:val="22"/>
        </w:rPr>
        <w:t>申报企业为取得本次带量联动采购品种范围内相关产品合法资质的医疗器械注册人（含备案人）。境外医疗器械注册人应当指定我国境内企业法人协助其履行相应的法律义务，并作为申报企业开展申报，同一境外医疗器械注册人应当委托同一家企业申报。</w:t>
      </w:r>
    </w:p>
    <w:p>
      <w:pPr>
        <w:spacing w:lineRule="auto" w:line="324"/>
        <w:ind w:firstLine="420"/>
      </w:pPr>
      <w:r>
        <w:rPr>
          <w:rFonts w:ascii="Calibri" w:hAnsi="Calibri" w:eastAsia="宋体"/>
          <w:b w:val="0"/>
          <w:sz w:val="22"/>
        </w:rPr>
        <w:t>医疗器械注册人为同一实际控制人或存在控股关系的，如委托同一家企业申报，视为同一申报企业，同采购品种应提交一份申报材料；医疗器械注册人非同一实际控制人，且不存在控股关系的，如委托同一家企业申报，视为不同申报企业，应分别提交申报材料。</w:t>
      </w:r>
    </w:p>
    <w:p>
      <w:pPr>
        <w:spacing w:lineRule="auto" w:line="324"/>
        <w:ind w:firstLine="420"/>
      </w:pPr>
      <w:r>
        <w:rPr>
          <w:rFonts w:ascii="Calibri" w:hAnsi="Calibri" w:eastAsia="宋体"/>
          <w:b w:val="0"/>
          <w:sz w:val="22"/>
        </w:rPr>
        <w:t>依据医药价格和招采信用评价制度，申报企业和医疗器械注册人未被列入当前《全国医药价格和招采失信企业风险警示名单》且未被广东省评定为“特别严重”失信等级（已修复的除外）；申报企业因申报品种被广东省评定为“严重”失信等级（已修复的除外）的，涉及品种无申报资格。</w:t>
      </w:r>
    </w:p>
    <w:p>
      <w:pPr>
        <w:spacing w:lineRule="auto" w:line="324"/>
        <w:ind w:firstLine="420"/>
      </w:pPr>
      <w:r>
        <w:rPr>
          <w:rFonts w:ascii="Calibri" w:hAnsi="Calibri" w:eastAsia="宋体"/>
          <w:b w:val="0"/>
          <w:sz w:val="22"/>
        </w:rPr>
        <w:t>申报产品须属于本次带量联动采购品种范围并获得有效中华人民共和国医疗器械注册证，注册证应在报名截止之日前有效。</w:t>
      </w:r>
    </w:p>
    <w:p>
      <w:pPr>
        <w:pStyle w:val="Heading1"/>
      </w:pPr>
      <w:r>
        <w:t>三、企业报价要求</w:t>
      </w:r>
    </w:p>
    <w:p>
      <w:pPr>
        <w:spacing w:lineRule="auto" w:line="324"/>
        <w:ind w:firstLine="420"/>
      </w:pPr>
      <w:r>
        <w:rPr>
          <w:rFonts w:ascii="Calibri" w:hAnsi="Calibri" w:eastAsia="宋体"/>
          <w:b w:val="0"/>
          <w:sz w:val="22"/>
        </w:rPr>
        <w:t>麻醉管路和一次性使用有创血压传感器以同采购品种同类别同一注册证作为一个报价单元，每一个报价单元仅允许填报唯一价格。申报价格P不高于P0的报价单元，视为有效报价单元。</w:t>
      </w:r>
    </w:p>
    <w:p>
      <w:pPr>
        <w:spacing w:lineRule="auto" w:line="324"/>
        <w:ind w:firstLine="420"/>
      </w:pPr>
      <w:r>
        <w:rPr>
          <w:rFonts w:ascii="Calibri" w:hAnsi="Calibri" w:eastAsia="宋体"/>
          <w:b w:val="0"/>
          <w:sz w:val="22"/>
        </w:rPr>
        <w:t>医用高分子夹板：有带量最低价的产品以申报产品作为一个报价单元，报价单位为片/袋；无带量最低价的产品以同采购品种同一申报企业作为一个报价单元，报价单位为平方厘米。有带量最低价的报价单元，其申报价格P不高于其自身非带量最低价的，视为有效报价单元；无带量最低价的报价单元，其申报价格P不高于其自身非带量最低价（按平方厘米折算）的，视为有效报价单元。</w:t>
      </w:r>
    </w:p>
    <w:p>
      <w:pPr>
        <w:spacing w:lineRule="auto" w:line="324"/>
        <w:ind w:firstLine="420"/>
      </w:pPr>
      <w:r>
        <w:rPr>
          <w:rFonts w:ascii="Calibri" w:hAnsi="Calibri" w:eastAsia="宋体"/>
          <w:b w:val="0"/>
          <w:sz w:val="22"/>
        </w:rPr>
        <w:t>申报价格为申报企业的实际供应价，应包含产品价格、税费、配送费用和伴随服务等所有费用。伴随服务包括协助组装工具、进行必要的工具使用指导、对医疗机构进行工具操作培训等。</w:t>
      </w:r>
    </w:p>
    <w:p>
      <w:pPr>
        <w:spacing w:lineRule="auto" w:line="324"/>
        <w:ind w:firstLine="420"/>
      </w:pPr>
      <w:r>
        <w:rPr>
          <w:rFonts w:ascii="Calibri" w:hAnsi="Calibri" w:eastAsia="宋体"/>
          <w:b w:val="0"/>
          <w:sz w:val="22"/>
        </w:rPr>
        <w:t>企业申报价格以人民币填报，单位为“元”，最多保留至小数点后两位（不四舍五入）。</w:t>
      </w:r>
    </w:p>
    <w:p>
      <w:pPr>
        <w:pStyle w:val="Heading1"/>
      </w:pPr>
      <w:r>
        <w:t>四、拟中选产品确定规则</w:t>
      </w:r>
    </w:p>
    <w:p>
      <w:pPr>
        <w:spacing w:lineRule="auto" w:line="324"/>
        <w:ind w:firstLine="420"/>
      </w:pPr>
      <w:r>
        <w:rPr>
          <w:rFonts w:ascii="Calibri" w:hAnsi="Calibri" w:eastAsia="宋体"/>
          <w:b w:val="0"/>
          <w:sz w:val="22"/>
        </w:rPr>
        <w:t>麻醉管路和一次性使用有创血压传感器：有带量最低价的报价单元，P≤P0、自身带量最低价和自身非带量最低价三者低值；无带量最低价的报价单元，P≤P0、自身非带量最低价和同采购品种同类别所有报价单元带量最低价的中位数三者低值。拟中选报价单元对应的所有申报产品均为拟中选产品。</w:t>
      </w:r>
    </w:p>
    <w:p>
      <w:pPr>
        <w:spacing w:lineRule="auto" w:line="324"/>
        <w:ind w:firstLine="420"/>
      </w:pPr>
      <w:r>
        <w:rPr>
          <w:rFonts w:ascii="Calibri" w:hAnsi="Calibri" w:eastAsia="宋体"/>
          <w:b w:val="0"/>
          <w:sz w:val="22"/>
        </w:rPr>
        <w:t>医用高分子夹板：有带量最低价的报价单元，P≤自身带量最低价和自身非带量最低价两者低值；无带量最低价的报价单元，P≤自身非带量最低价（按平方厘米折算）和参考价两者低值。无带量最低价的拟中选报价单元对应的所有申报产品均为拟中选产品，其申报价格与拟中选产品面积的乘积为该拟中选产品的拟中选价格。拟中选价格高于128元的拟中选产品，企业须接受价格纠偏，不接受价格纠偏的取消对应产品的拟中选资格。</w:t>
      </w:r>
    </w:p>
    <w:p>
      <w:pPr>
        <w:pStyle w:val="Heading1"/>
      </w:pPr>
      <w:r>
        <w:t>五、首年协议采购量</w:t>
      </w:r>
    </w:p>
    <w:p>
      <w:pPr>
        <w:spacing w:lineRule="auto" w:line="324"/>
        <w:ind w:firstLine="420"/>
      </w:pPr>
      <w:r>
        <w:rPr>
          <w:rFonts w:ascii="Calibri" w:hAnsi="Calibri" w:eastAsia="宋体"/>
          <w:b w:val="0"/>
          <w:sz w:val="22"/>
        </w:rPr>
        <w:t>中选结果公布后，组织广东省医疗机构参考历史用量和临床实际，在广东省招采子系统以同采购品种同类别同一注册证为单位进行报量。原则上各医疗机构总采购需求量不得少于其上一年度该品种总采购量的80%。审核通过后的医疗机构总采购需求量为其首年协议采购量。</w:t>
      </w:r>
    </w:p>
    <w:p>
      <w:pPr>
        <w:pStyle w:val="Heading1"/>
      </w:pPr>
      <w:r>
        <w:t>六、采购执行说明</w:t>
      </w:r>
    </w:p>
    <w:p>
      <w:pPr>
        <w:spacing w:lineRule="auto" w:line="324"/>
        <w:ind w:firstLine="420"/>
      </w:pPr>
      <w:r>
        <w:rPr>
          <w:rFonts w:ascii="Calibri" w:hAnsi="Calibri" w:eastAsia="宋体"/>
          <w:b w:val="0"/>
          <w:sz w:val="22"/>
        </w:rPr>
        <w:t>采购周期内，医疗机构（含未报量的医疗机构）须优先采购中选产品，并确保完成协议采购量。中选产品总使用量占同采购品种总使用量的比例不低于70%。</w:t>
      </w:r>
    </w:p>
    <w:p>
      <w:pPr>
        <w:spacing w:lineRule="auto" w:line="324"/>
        <w:ind w:firstLine="420"/>
      </w:pPr>
      <w:r>
        <w:rPr>
          <w:rFonts w:ascii="Calibri" w:hAnsi="Calibri" w:eastAsia="宋体"/>
          <w:b w:val="0"/>
          <w:sz w:val="22"/>
        </w:rPr>
        <w:t>采购周期内，如中选产品注册证更新，中选资格及价格均维持不变。</w:t>
      </w:r>
    </w:p>
    <w:p>
      <w:pPr>
        <w:spacing w:lineRule="auto" w:line="324"/>
        <w:ind w:firstLine="420"/>
      </w:pPr>
      <w:r>
        <w:rPr>
          <w:rFonts w:ascii="Calibri" w:hAnsi="Calibri" w:eastAsia="宋体"/>
          <w:b w:val="0"/>
          <w:sz w:val="22"/>
        </w:rPr>
        <w:t>采购周期内，中选产品的境外医疗器械注册人如变更我国境内企业法人协助其履行相应法律义务的，应向深圳交易中心递交更换委托代理企业的声明和其原申报企业的知情同意书。</w:t>
      </w:r>
    </w:p>
    <w:p>
      <w:pPr>
        <w:pStyle w:val="Heading1"/>
      </w:pPr>
      <w:r>
        <w:t>七、价格联动</w:t>
      </w:r>
    </w:p>
    <w:p>
      <w:pPr>
        <w:spacing w:lineRule="auto" w:line="324"/>
        <w:ind w:firstLine="420"/>
      </w:pPr>
      <w:r>
        <w:rPr>
          <w:rFonts w:ascii="Calibri" w:hAnsi="Calibri" w:eastAsia="宋体"/>
          <w:b w:val="0"/>
          <w:sz w:val="22"/>
        </w:rPr>
        <w:t>采购周期内，若同一中选产品在其他省级（含省际联盟，如三明联盟）带量采购中的中选价格低于本次带量联动采购的中选价格，中选企业须接受价格联动并应在新低中选价格公布之日起20个工作日内向深圳交易中心申报。麻醉管路、一次性使用有创血压传感器中选产品以同类别同注册证为单元，医用高分子夹板中选产品以同注册证同规格型号为单位进行价格联动。生效中的相关采购协议须按要求调整为新的中选价格继续执行。若不接受价格联动的，后续采购期内将视为其放弃对应产品的中选资格。</w:t>
      </w:r>
    </w:p>
    <w:p>
      <w:pPr>
        <w:pStyle w:val="Heading1"/>
      </w:pPr>
      <w:r>
        <w:t>八、非中选产品挂网</w:t>
      </w:r>
    </w:p>
    <w:p>
      <w:pPr>
        <w:spacing w:lineRule="auto" w:line="324"/>
        <w:ind w:firstLine="420"/>
      </w:pPr>
      <w:r>
        <w:rPr>
          <w:rFonts w:ascii="Calibri" w:hAnsi="Calibri" w:eastAsia="宋体"/>
          <w:b w:val="0"/>
          <w:sz w:val="22"/>
        </w:rPr>
        <w:t>采购周期内，非中选产品申报价格仅符合广东省挂网要求的，可以非中选身份在广东省挂网交易。</w:t>
      </w:r>
    </w:p>
    <w:p>
      <w:pPr>
        <w:spacing w:lineRule="auto" w:line="324"/>
        <w:ind w:firstLine="420"/>
      </w:pPr>
      <w:r>
        <w:rPr>
          <w:rFonts w:ascii="Calibri" w:hAnsi="Calibri" w:eastAsia="宋体"/>
          <w:b w:val="0"/>
          <w:sz w:val="22"/>
        </w:rPr>
        <w:t>麻醉管路和一次性使用有创血压传感器：属于已中选注册证的非中选产品，申报价格不高于自身带量最低价、自身非带量最低价和同采购品种同类别同注册证中选价格三者低值且接受同采购品种同类别同注册证所有中选产品按就低原则调平价格的，可作为中选产品挂网并共享该采购年度内同采购品种同类别同注册证的协议采购量；不属于已中选注册证的非中选产品，申报价格不高于同采购品种同类别所有中选价格的中位数、自身带量最低价和自身非带量最低价三者低值的，可作为中选产品挂网，但该采购年度内无协议采购量。</w:t>
      </w:r>
    </w:p>
    <w:p>
      <w:pPr>
        <w:spacing w:lineRule="auto" w:line="324"/>
        <w:ind w:firstLine="420"/>
      </w:pPr>
      <w:r>
        <w:rPr>
          <w:rFonts w:ascii="Calibri" w:hAnsi="Calibri" w:eastAsia="宋体"/>
          <w:b w:val="0"/>
          <w:sz w:val="22"/>
        </w:rPr>
        <w:t>医用高分子夹板：非中选产品申报价格（按平方厘米申报）不高于其自身带量最低价与自身非带量最低价两者低值（按平方厘米折算），且不高于参考价，可作为中选产品挂网，但该采购年度内无协议采购量。</w:t>
      </w:r>
    </w:p>
    <w:p>
      <w:pPr>
        <w:spacing w:lineRule="auto" w:line="324"/>
        <w:ind w:firstLine="420"/>
      </w:pPr>
      <w:r>
        <w:rPr>
          <w:rFonts w:ascii="Calibri" w:hAnsi="Calibri" w:eastAsia="宋体"/>
          <w:b w:val="0"/>
          <w:sz w:val="22"/>
        </w:rPr>
        <w:t>不符合上述要求的，暂不予挂网。</w:t>
      </w:r>
    </w:p>
    <w:p>
      <w:pPr>
        <w:pStyle w:val="Heading1"/>
      </w:pPr>
      <w:r>
        <w:t>九、信用评价与违约处置</w:t>
      </w:r>
    </w:p>
    <w:p>
      <w:pPr>
        <w:spacing w:lineRule="auto" w:line="324"/>
        <w:ind w:firstLine="420"/>
      </w:pPr>
      <w:r>
        <w:rPr>
          <w:rFonts w:ascii="Calibri" w:hAnsi="Calibri" w:eastAsia="宋体"/>
          <w:b w:val="0"/>
          <w:sz w:val="22"/>
        </w:rPr>
        <w:t>申报企业、中选企业、配送企业如有提供虚假材料、商业贿赂、恶意申报、串通报价、放弃中选资格、不履行供货承诺、产品严重质量问题等行为，经有关部门认定属实的，将视情节轻重取消相关产品或企业的申报/中选资格，并可取消2年内参与本省医用耗材集中采购活动的资格。</w:t>
      </w:r>
    </w:p>
    <w:p>
      <w:pPr>
        <w:spacing w:lineRule="auto" w:line="324"/>
        <w:ind w:firstLine="420"/>
      </w:pPr>
      <w:r>
        <w:rPr>
          <w:rFonts w:ascii="Calibri" w:hAnsi="Calibri" w:eastAsia="宋体"/>
          <w:b w:val="0"/>
          <w:sz w:val="22"/>
        </w:rPr>
        <w:t>中选企业、配送企业如出现价格联动拒绝执行、中选价格高于省内最低采购价且拒绝调整、多次不良事件、未维护配送关系、不响应订单或断供等行为，经约谈、提醒、告诫、公告2次及以上仍未整改的，按上述条款处理。</w:t>
      </w:r>
    </w:p>
    <w:p>
      <w:pPr>
        <w:spacing w:lineRule="auto" w:line="324"/>
        <w:ind w:firstLine="420"/>
      </w:pPr>
      <w:r>
        <w:rPr>
          <w:rFonts w:ascii="Calibri" w:hAnsi="Calibri" w:eastAsia="宋体"/>
          <w:b w:val="0"/>
          <w:sz w:val="22"/>
        </w:rPr>
        <w:t>中选企业被广东省依据医药价格和招采信用评价制度评定为“特别严重”失信等级，或中选产品被评定为“严重”失信等级的，取消相关企业或产品的中选资格。</w:t>
      </w:r>
    </w:p>
    <w:p>
      <w:pPr>
        <w:pStyle w:val="Heading1"/>
      </w:pPr>
      <w:r>
        <w:t>十、信息发布与联系方式</w:t>
      </w:r>
    </w:p>
    <w:p>
      <w:pPr>
        <w:spacing w:lineRule="auto" w:line="324"/>
        <w:ind w:firstLine="420"/>
      </w:pPr>
      <w:r>
        <w:rPr>
          <w:rFonts w:ascii="Calibri" w:hAnsi="Calibri" w:eastAsia="宋体"/>
          <w:b w:val="0"/>
          <w:sz w:val="22"/>
        </w:rPr>
        <w:t>申报企业通过深圳公共资源交易网（http://www.szggzy.com/）医用耗材交易板块下载相关文件。深圳交易中心通过该网站发布本次带量联动采购相关通知。</w:t>
      </w:r>
    </w:p>
    <w:p>
      <w:pPr>
        <w:spacing w:lineRule="auto" w:line="324"/>
        <w:ind w:firstLine="420"/>
      </w:pPr>
      <w:r>
        <w:rPr>
          <w:rFonts w:ascii="Calibri" w:hAnsi="Calibri" w:eastAsia="宋体"/>
          <w:b w:val="0"/>
          <w:sz w:val="22"/>
        </w:rPr>
        <w:t>机构名称：深圳公共资源交易中心；机构地址：深圳交易集团总部大楼（深圳市南山区西丽南山智谷产业园A座）；联系电话：0755-88653317；服务时间：9:00-12:00，14:00-18:00，节假日除外。</w:t>
      </w:r>
    </w:p>
    <w:p>
      <w:pPr>
        <w:pStyle w:val="Heading1"/>
      </w:pPr>
      <w:r>
        <w:t>企业关注点</w:t>
      </w:r>
    </w:p>
    <w:p>
      <w:pPr>
        <w:spacing w:lineRule="auto" w:line="324"/>
        <w:ind w:firstLine="420"/>
      </w:pPr>
      <w:r>
        <w:rPr>
          <w:rFonts w:ascii="Calibri" w:hAnsi="Calibri" w:eastAsia="宋体"/>
          <w:b w:val="0"/>
          <w:sz w:val="22"/>
        </w:rPr>
        <w:t>企业需关注麻醉管路和一次性使用有创血压传感器的最高有效申报价（P0）限制，有效报价须不高于P0。</w:t>
      </w:r>
    </w:p>
    <w:p>
      <w:pPr>
        <w:spacing w:lineRule="auto" w:line="324"/>
        <w:ind w:firstLine="420"/>
      </w:pPr>
      <w:r>
        <w:rPr>
          <w:rFonts w:ascii="Calibri" w:hAnsi="Calibri" w:eastAsia="宋体"/>
          <w:b w:val="0"/>
          <w:sz w:val="22"/>
        </w:rPr>
        <w:t>医用高分子夹板无带量最低价的报价单元，有效报价须不高于自身非带量最低价（按平方厘米折算），且拟中选价格高于128元的产品须接受价格纠偏。</w:t>
      </w:r>
    </w:p>
    <w:p>
      <w:pPr>
        <w:spacing w:lineRule="auto" w:line="324"/>
        <w:ind w:firstLine="420"/>
      </w:pPr>
      <w:r>
        <w:rPr>
          <w:rFonts w:ascii="Calibri" w:hAnsi="Calibri" w:eastAsia="宋体"/>
          <w:b w:val="0"/>
          <w:sz w:val="22"/>
        </w:rPr>
        <w:t>中选企业须接受价格联动，在其他省级带量采购产生更低中选价格时，应在20个工作日内向深圳交易中心申报。</w:t>
      </w:r>
    </w:p>
    <w:p>
      <w:pPr>
        <w:spacing w:lineRule="auto" w:line="324"/>
        <w:ind w:firstLine="420"/>
      </w:pPr>
      <w:r>
        <w:rPr>
          <w:rFonts w:ascii="Calibri" w:hAnsi="Calibri" w:eastAsia="宋体"/>
          <w:b w:val="0"/>
          <w:sz w:val="22"/>
        </w:rPr>
        <w:t>非中选产品转为中选产品挂网有严格的价格限制条件，企业应提前评估自身价格是否符合要求。</w:t>
      </w:r>
    </w:p>
    <w:p>
      <w:pPr>
        <w:spacing w:lineRule="auto" w:line="324"/>
        <w:ind w:firstLine="420"/>
      </w:pPr>
      <w:r>
        <w:rPr>
          <w:rFonts w:ascii="Calibri" w:hAnsi="Calibri" w:eastAsia="宋体"/>
          <w:b w:val="0"/>
          <w:sz w:val="22"/>
        </w:rPr>
        <w:t>申报企业和医疗器械注册人须确保未被列入失信企业风险警示名单且未被广东省评定为“特别严重”或“严重”失信等级（已修复的除外）。</w:t>
      </w:r>
    </w:p>
    <w:p>
      <w:pPr>
        <w:pStyle w:val="Heading1"/>
      </w:pPr>
      <w:r>
        <w:t>声  明</w:t>
      </w:r>
    </w:p>
    <w:p>
      <w:pPr>
        <w:spacing w:lineRule="auto" w:line="324"/>
        <w:ind w:firstLine="420"/>
      </w:pPr>
      <w:r>
        <w:rPr>
          <w:rFonts w:ascii="Calibri" w:hAnsi="Calibri" w:eastAsia="宋体"/>
          <w:b w:val="0"/>
          <w:sz w:val="2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2026-05-31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广东省麻醉管路等三类医用耗材带量联动采购文件（采购文件编号：SZGGZYHCDL202601）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