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广东省麻醉管路等三类医用耗材带量联动采购规则分析</w:t>
      </w:r>
    </w:p>
    <w:p>
      <w:pPr>
        <w:spacing w:lineRule="auto" w:line="324"/>
        <w:ind w:firstLine="420"/>
      </w:pPr>
      <w:r>
        <w:rPr>
          <w:rFonts w:ascii="Calibri" w:hAnsi="Calibri" w:eastAsia="宋体"/>
          <w:b w:val="0"/>
          <w:sz w:val="22"/>
        </w:rPr>
        <w:t>2026年5月31日，深圳公共资源交易中心发布《广东省麻醉管路等三类医用耗材带量联动采购文件》（采购文件编号：SZGGZYHCDL202601），正式启动广东省麻醉管路、一次性使用有创血压传感器及医用高分子夹板的带量联动采购工作。本次采购主体覆盖广东省公立医疗机构（含驻粤军队医疗机构），医保定点社会办医疗机构在承诺遵守相关规定的前提下可自愿参加。采购周期设定为两年，自采购结果执行之日起计算，采购协议每年一签。文件明确了分类报价、量价挂钩及严格的价格联动机制，旨在通过省级平台协同推进医用耗材价格合理化。</w:t>
      </w:r>
    </w:p>
    <w:p>
      <w:pPr>
        <w:pStyle w:val="Heading1"/>
      </w:pPr>
      <w:r>
        <w:t>采购品种范围与价格门槛</w:t>
      </w:r>
    </w:p>
    <w:p>
      <w:pPr>
        <w:spacing w:lineRule="auto" w:line="324"/>
        <w:ind w:firstLine="420"/>
      </w:pPr>
      <w:r>
        <w:rPr>
          <w:rFonts w:ascii="Calibri" w:hAnsi="Calibri" w:eastAsia="宋体"/>
          <w:b w:val="0"/>
          <w:sz w:val="22"/>
        </w:rPr>
        <w:t>本次带量联动采购涵盖麻醉管路、一次性使用有创血压传感器、医用高分子夹板三类产品。其中，麻醉管路包含但不限于国家医保耗材分类代码前10位为C141004247和C140202000的产品，产品须含管路（Y型接头）、储气囊等组件；一次性使用有创血压传感器包含但不限于代码前10位为C141611004的产品，带密闭采血装置以及同时具备心排量监测功能的产品不纳入本次采购范围；医用高分子夹板包含但不限于代码前10位为C031609080的产品，可重复塑形的医用高分子夹板不纳入范围。文件对前两类产品设定了最高有效申报价（P0），对医用高分子夹板设定了参考价，具体分类及价格门槛如下表所示。</w:t>
      </w:r>
    </w:p>
    <w:p>
      <w:r>
        <w:rPr>
          <w:rFonts w:ascii="Calibri" w:hAnsi="Calibri" w:eastAsia="宋体"/>
          <w:b/>
          <w:sz w:val="20"/>
        </w:rPr>
        <w:t>采购品种分类及价格门槛表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最高有效申报价(P0)/参考价</w:t>
            </w:r>
          </w:p>
        </w:tc>
        <w:tc>
          <w:tcPr>
            <w:tcW w:type="dxa" w:w="1837"/>
            <w:vAlign w:val="center"/>
            <w:shd w:fill="D9EAF7"/>
          </w:tcPr>
          <w:p>
            <w:pPr>
              <w:jc w:val="center"/>
            </w:pPr>
            <w:r>
              <w:rPr>
                <w:rFonts w:ascii="Calibri" w:hAnsi="Calibri" w:eastAsia="宋体"/>
                <w:b/>
                <w:sz w:val="20"/>
              </w:rPr>
              <w:t>备注</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1类</w:t>
            </w:r>
          </w:p>
        </w:tc>
        <w:tc>
          <w:tcPr>
            <w:tcW w:type="dxa" w:w="1837"/>
            <w:vAlign w:val="center"/>
          </w:tcPr>
          <w:p>
            <w:r>
              <w:rPr>
                <w:rFonts w:ascii="Calibri" w:hAnsi="Calibri" w:eastAsia="宋体"/>
                <w:sz w:val="20"/>
              </w:rPr>
              <w:t>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须含管路（Y型接头）、储气囊等组件</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2类</w:t>
            </w:r>
          </w:p>
        </w:tc>
        <w:tc>
          <w:tcPr>
            <w:tcW w:type="dxa" w:w="1837"/>
            <w:vAlign w:val="center"/>
          </w:tcPr>
          <w:p>
            <w:r>
              <w:rPr>
                <w:rFonts w:ascii="Calibri" w:hAnsi="Calibri" w:eastAsia="宋体"/>
                <w:sz w:val="20"/>
              </w:rPr>
              <w:t>不可伸缩型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同上</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3类</w:t>
            </w:r>
          </w:p>
        </w:tc>
        <w:tc>
          <w:tcPr>
            <w:tcW w:type="dxa" w:w="1837"/>
            <w:vAlign w:val="center"/>
          </w:tcPr>
          <w:p>
            <w:r>
              <w:rPr>
                <w:rFonts w:ascii="Calibri" w:hAnsi="Calibri" w:eastAsia="宋体"/>
                <w:sz w:val="20"/>
              </w:rPr>
              <w:t>单头</w:t>
            </w:r>
          </w:p>
        </w:tc>
        <w:tc>
          <w:tcPr>
            <w:tcW w:type="dxa" w:w="1837"/>
            <w:vAlign w:val="center"/>
          </w:tcPr>
          <w:p>
            <w:r>
              <w:rPr>
                <w:rFonts w:ascii="Calibri" w:hAnsi="Calibri" w:eastAsia="宋体"/>
                <w:sz w:val="20"/>
              </w:rPr>
              <w:t>103元/根</w:t>
            </w:r>
          </w:p>
        </w:tc>
        <w:tc>
          <w:tcPr>
            <w:tcW w:type="dxa" w:w="1837"/>
            <w:vAlign w:val="center"/>
          </w:tcPr>
          <w:p>
            <w:r>
              <w:rPr>
                <w:rFonts w:ascii="Calibri" w:hAnsi="Calibri" w:eastAsia="宋体"/>
                <w:sz w:val="20"/>
              </w:rPr>
              <w:t>带密闭采血装置及同时具备心排量监测功能的产品不纳入</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4类</w:t>
            </w:r>
          </w:p>
        </w:tc>
        <w:tc>
          <w:tcPr>
            <w:tcW w:type="dxa" w:w="1837"/>
            <w:vAlign w:val="center"/>
          </w:tcPr>
          <w:p>
            <w:r>
              <w:rPr>
                <w:rFonts w:ascii="Calibri" w:hAnsi="Calibri" w:eastAsia="宋体"/>
                <w:sz w:val="20"/>
              </w:rPr>
              <w:t>双头</w:t>
            </w:r>
          </w:p>
        </w:tc>
        <w:tc>
          <w:tcPr>
            <w:tcW w:type="dxa" w:w="1837"/>
            <w:vAlign w:val="center"/>
          </w:tcPr>
          <w:p>
            <w:r>
              <w:rPr>
                <w:rFonts w:ascii="Calibri" w:hAnsi="Calibri" w:eastAsia="宋体"/>
                <w:sz w:val="20"/>
              </w:rPr>
              <w:t>154元/根</w:t>
            </w:r>
          </w:p>
        </w:tc>
        <w:tc>
          <w:tcPr>
            <w:tcW w:type="dxa" w:w="1837"/>
            <w:vAlign w:val="center"/>
          </w:tcPr>
          <w:p>
            <w:r>
              <w:rPr>
                <w:rFonts w:ascii="Calibri" w:hAnsi="Calibri" w:eastAsia="宋体"/>
                <w:sz w:val="20"/>
              </w:rPr>
              <w:t>同上</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5类</w:t>
            </w:r>
          </w:p>
        </w:tc>
        <w:tc>
          <w:tcPr>
            <w:tcW w:type="dxa" w:w="1837"/>
            <w:vAlign w:val="center"/>
          </w:tcPr>
          <w:p>
            <w:r>
              <w:rPr>
                <w:rFonts w:ascii="Calibri" w:hAnsi="Calibri" w:eastAsia="宋体"/>
                <w:sz w:val="20"/>
              </w:rPr>
              <w:t>三头</w:t>
            </w:r>
          </w:p>
        </w:tc>
        <w:tc>
          <w:tcPr>
            <w:tcW w:type="dxa" w:w="1837"/>
            <w:vAlign w:val="center"/>
          </w:tcPr>
          <w:p>
            <w:r>
              <w:rPr>
                <w:rFonts w:ascii="Calibri" w:hAnsi="Calibri" w:eastAsia="宋体"/>
                <w:sz w:val="20"/>
              </w:rPr>
              <w:t>199元/根</w:t>
            </w:r>
          </w:p>
        </w:tc>
        <w:tc>
          <w:tcPr>
            <w:tcW w:type="dxa" w:w="1837"/>
            <w:vAlign w:val="center"/>
          </w:tcPr>
          <w:p>
            <w:r>
              <w:rPr>
                <w:rFonts w:ascii="Calibri" w:hAnsi="Calibri" w:eastAsia="宋体"/>
                <w:sz w:val="20"/>
              </w:rPr>
              <w:t>同上</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6类</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0.04元/平方厘米</w:t>
            </w:r>
          </w:p>
        </w:tc>
        <w:tc>
          <w:tcPr>
            <w:tcW w:type="dxa" w:w="1837"/>
            <w:vAlign w:val="center"/>
          </w:tcPr>
          <w:p>
            <w:r>
              <w:rPr>
                <w:rFonts w:ascii="Calibri" w:hAnsi="Calibri" w:eastAsia="宋体"/>
                <w:sz w:val="20"/>
              </w:rPr>
              <w:t>可重复塑形的产品不纳入</w:t>
            </w:r>
          </w:p>
        </w:tc>
      </w:tr>
    </w:tbl>
    <w:p/>
    <w:p>
      <w:pPr>
        <w:pStyle w:val="Heading1"/>
      </w:pPr>
      <w:r>
        <w:t>企业报价要求与有效报价条件</w:t>
      </w:r>
    </w:p>
    <w:p>
      <w:pPr>
        <w:spacing w:lineRule="auto" w:line="324"/>
        <w:ind w:firstLine="420"/>
      </w:pPr>
      <w:r>
        <w:rPr>
          <w:rFonts w:ascii="Calibri" w:hAnsi="Calibri" w:eastAsia="宋体"/>
          <w:b w:val="0"/>
          <w:sz w:val="22"/>
        </w:rPr>
        <w:t>申报企业须为取得本次采购品种范围内相关产品合法资质的医疗器械注册人（含备案人），境外注册人应当指定我国境内企业法人协助申报。报价采用线上加密提交方式，申报价格为申报企业的实际供应价，应包含产品价格、税费、配送费用和伴随服务等所有费用。麻醉管路和一次性使用有创血压传感器以“同采购品种同类别同一注册证”作为一个报价单元，每一个报价单元仅允许填报唯一价格，报价单位为“套”，申报价格P不高于P0的报价单元视为有效报价单元。医用高分子夹板区分有无带量最低价设定报价单元：有带量最低价的以“申报产品”作为一个报价单元，报价单位为“片/袋”；无带量最低价的以“同采购品种同一申报企业”作为一个报价单元，报价单位为“平方厘米”。每一个报价单元仅允许申报一个价格。有带量最低价的报价单元，其申报价格P不高于其自身非带量最低价的，视为有效报价单元；无带量最低价的报价单元，其申报价格P不高于其自身非带量最低价（按平方厘米折算）的，视为有效报价单元。</w:t>
      </w:r>
    </w:p>
    <w:p>
      <w:r>
        <w:rPr>
          <w:rFonts w:ascii="Calibri" w:hAnsi="Calibri" w:eastAsia="宋体"/>
          <w:b/>
          <w:sz w:val="20"/>
        </w:rPr>
        <w:t>报价规则与有效报价条件表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报价单元</w:t>
            </w:r>
          </w:p>
        </w:tc>
        <w:tc>
          <w:tcPr>
            <w:tcW w:type="dxa" w:w="2296"/>
            <w:vAlign w:val="center"/>
            <w:shd w:fill="D9EAF7"/>
          </w:tcPr>
          <w:p>
            <w:pPr>
              <w:jc w:val="center"/>
            </w:pPr>
            <w:r>
              <w:rPr>
                <w:rFonts w:ascii="Calibri" w:hAnsi="Calibri" w:eastAsia="宋体"/>
                <w:b/>
                <w:sz w:val="20"/>
              </w:rPr>
              <w:t>报价单位</w:t>
            </w:r>
          </w:p>
        </w:tc>
        <w:tc>
          <w:tcPr>
            <w:tcW w:type="dxa" w:w="2296"/>
            <w:vAlign w:val="center"/>
            <w:shd w:fill="D9EAF7"/>
          </w:tcPr>
          <w:p>
            <w:pPr>
              <w:jc w:val="center"/>
            </w:pPr>
            <w:r>
              <w:rPr>
                <w:rFonts w:ascii="Calibri" w:hAnsi="Calibri" w:eastAsia="宋体"/>
                <w:b/>
                <w:sz w:val="20"/>
              </w:rPr>
              <w:t>有效报价条件</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同采购品种同类别同一注册证</w:t>
            </w:r>
          </w:p>
        </w:tc>
        <w:tc>
          <w:tcPr>
            <w:tcW w:type="dxa" w:w="2296"/>
            <w:vAlign w:val="center"/>
          </w:tcPr>
          <w:p>
            <w:r>
              <w:rPr>
                <w:rFonts w:ascii="Calibri" w:hAnsi="Calibri" w:eastAsia="宋体"/>
                <w:sz w:val="20"/>
              </w:rPr>
              <w:t>套</w:t>
            </w:r>
          </w:p>
        </w:tc>
        <w:tc>
          <w:tcPr>
            <w:tcW w:type="dxa" w:w="2296"/>
            <w:vAlign w:val="center"/>
          </w:tcPr>
          <w:p>
            <w:r>
              <w:rPr>
                <w:rFonts w:ascii="Calibri" w:hAnsi="Calibri" w:eastAsia="宋体"/>
                <w:sz w:val="20"/>
              </w:rPr>
              <w:t>申报价格P不高于最高有效申报价（P0）</w:t>
            </w:r>
          </w:p>
        </w:tc>
      </w:tr>
      <w:tr>
        <w:tc>
          <w:tcPr>
            <w:tcW w:type="dxa" w:w="2296"/>
            <w:vAlign w:val="center"/>
          </w:tcPr>
          <w:p>
            <w:r>
              <w:rPr>
                <w:rFonts w:ascii="Calibri" w:hAnsi="Calibri" w:eastAsia="宋体"/>
                <w:sz w:val="20"/>
              </w:rPr>
              <w:t>医用高分子夹板（有带量最低价）</w:t>
            </w:r>
          </w:p>
        </w:tc>
        <w:tc>
          <w:tcPr>
            <w:tcW w:type="dxa" w:w="2296"/>
            <w:vAlign w:val="center"/>
          </w:tcPr>
          <w:p>
            <w:r>
              <w:rPr>
                <w:rFonts w:ascii="Calibri" w:hAnsi="Calibri" w:eastAsia="宋体"/>
                <w:sz w:val="20"/>
              </w:rPr>
              <w:t>申报产品</w:t>
            </w:r>
          </w:p>
        </w:tc>
        <w:tc>
          <w:tcPr>
            <w:tcW w:type="dxa" w:w="2296"/>
            <w:vAlign w:val="center"/>
          </w:tcPr>
          <w:p>
            <w:r>
              <w:rPr>
                <w:rFonts w:ascii="Calibri" w:hAnsi="Calibri" w:eastAsia="宋体"/>
                <w:sz w:val="20"/>
              </w:rPr>
              <w:t>片/袋</w:t>
            </w:r>
          </w:p>
        </w:tc>
        <w:tc>
          <w:tcPr>
            <w:tcW w:type="dxa" w:w="2296"/>
            <w:vAlign w:val="center"/>
          </w:tcPr>
          <w:p>
            <w:r>
              <w:rPr>
                <w:rFonts w:ascii="Calibri" w:hAnsi="Calibri" w:eastAsia="宋体"/>
                <w:sz w:val="20"/>
              </w:rPr>
              <w:t>申报价格P不高于自身非带量最低价</w:t>
            </w:r>
          </w:p>
        </w:tc>
      </w:tr>
      <w:tr>
        <w:tc>
          <w:tcPr>
            <w:tcW w:type="dxa" w:w="2296"/>
            <w:vAlign w:val="center"/>
          </w:tcPr>
          <w:p>
            <w:r>
              <w:rPr>
                <w:rFonts w:ascii="Calibri" w:hAnsi="Calibri" w:eastAsia="宋体"/>
                <w:sz w:val="20"/>
              </w:rPr>
              <w:t>医用高分子夹板（无带量最低价）</w:t>
            </w:r>
          </w:p>
        </w:tc>
        <w:tc>
          <w:tcPr>
            <w:tcW w:type="dxa" w:w="2296"/>
            <w:vAlign w:val="center"/>
          </w:tcPr>
          <w:p>
            <w:r>
              <w:rPr>
                <w:rFonts w:ascii="Calibri" w:hAnsi="Calibri" w:eastAsia="宋体"/>
                <w:sz w:val="20"/>
              </w:rPr>
              <w:t>同采购品种同一申报企业</w:t>
            </w:r>
          </w:p>
        </w:tc>
        <w:tc>
          <w:tcPr>
            <w:tcW w:type="dxa" w:w="2296"/>
            <w:vAlign w:val="center"/>
          </w:tcPr>
          <w:p>
            <w:r>
              <w:rPr>
                <w:rFonts w:ascii="Calibri" w:hAnsi="Calibri" w:eastAsia="宋体"/>
                <w:sz w:val="20"/>
              </w:rPr>
              <w:t>平方厘米</w:t>
            </w:r>
          </w:p>
        </w:tc>
        <w:tc>
          <w:tcPr>
            <w:tcW w:type="dxa" w:w="2296"/>
            <w:vAlign w:val="center"/>
          </w:tcPr>
          <w:p>
            <w:r>
              <w:rPr>
                <w:rFonts w:ascii="Calibri" w:hAnsi="Calibri" w:eastAsia="宋体"/>
                <w:sz w:val="20"/>
              </w:rPr>
              <w:t>申报价格P不高于自身非带量最低价（按平方厘米折算）</w:t>
            </w:r>
          </w:p>
        </w:tc>
      </w:tr>
    </w:tbl>
    <w:p/>
    <w:p>
      <w:pPr>
        <w:pStyle w:val="Heading1"/>
      </w:pPr>
      <w:r>
        <w:t>拟中选产品确定规则</w:t>
      </w:r>
    </w:p>
    <w:p>
      <w:pPr>
        <w:spacing w:lineRule="auto" w:line="324"/>
        <w:ind w:firstLine="420"/>
      </w:pPr>
      <w:r>
        <w:rPr>
          <w:rFonts w:ascii="Calibri" w:hAnsi="Calibri" w:eastAsia="宋体"/>
          <w:b w:val="0"/>
          <w:sz w:val="22"/>
        </w:rPr>
        <w:t>拟中选资格根据报价单元是否具备带量最低价分别设定判定路径。麻醉管路和一次性使用有创血压传感器方面，有带量最低价的报价单元需满足申报价格P不高于P0、自身带量最低价和自身非带量最低价三者低值；无带量最低价的报价单元需满足P不高于P0、自身非带量最低价和同采购品种同类别所有报价单元带量最低价的中位数三者低值。医用高分子夹板方面，有带量最低价的报价单元需满足P不高于自身带量最低价和自身非带量最低价两者低值；无带量最低价的报价单元需满足P不高于自身非带量最低价（按平方厘米折算）和参考价两者低值。拟中选报价单元对应的所有申报产品均为拟中选产品，其申报价格即为拟中选价格。针对医用高分子夹板，若拟中选价格高于128元，企业须接受价格纠偏，不接受的将取消对应产品的拟中选资格。拟中选结果在深圳公共资源交易网公示，公示期间取消资格的产品不递补，也不影响其他产品的拟中选资格。</w:t>
      </w:r>
    </w:p>
    <w:p>
      <w:r>
        <w:rPr>
          <w:rFonts w:ascii="Calibri" w:hAnsi="Calibri" w:eastAsia="宋体"/>
          <w:b/>
          <w:sz w:val="20"/>
        </w:rPr>
        <w:t>拟中选产品确定规则表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情形</w:t>
            </w:r>
          </w:p>
        </w:tc>
        <w:tc>
          <w:tcPr>
            <w:tcW w:type="dxa" w:w="2296"/>
            <w:vAlign w:val="center"/>
            <w:shd w:fill="D9EAF7"/>
          </w:tcPr>
          <w:p>
            <w:pPr>
              <w:jc w:val="center"/>
            </w:pPr>
            <w:r>
              <w:rPr>
                <w:rFonts w:ascii="Calibri" w:hAnsi="Calibri" w:eastAsia="宋体"/>
                <w:b/>
                <w:sz w:val="20"/>
              </w:rPr>
              <w:t>拟中选条件</w:t>
            </w:r>
          </w:p>
        </w:tc>
        <w:tc>
          <w:tcPr>
            <w:tcW w:type="dxa" w:w="2296"/>
            <w:vAlign w:val="center"/>
            <w:shd w:fill="D9EAF7"/>
          </w:tcPr>
          <w:p>
            <w:pPr>
              <w:jc w:val="center"/>
            </w:pPr>
            <w:r>
              <w:rPr>
                <w:rFonts w:ascii="Calibri" w:hAnsi="Calibri" w:eastAsia="宋体"/>
                <w:b/>
                <w:sz w:val="20"/>
              </w:rPr>
              <w:t>拟中选价格确定方式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P≤P0、自身带量最低价和自身非带量最低价三者低值</w:t>
            </w:r>
          </w:p>
        </w:tc>
        <w:tc>
          <w:tcPr>
            <w:tcW w:type="dxa" w:w="2296"/>
            <w:vAlign w:val="center"/>
          </w:tcPr>
          <w:p>
            <w:r>
              <w:rPr>
                <w:rFonts w:ascii="Calibri" w:hAnsi="Calibri" w:eastAsia="宋体"/>
                <w:sz w:val="20"/>
              </w:rPr>
              <w:t>拟中选报价单元对应的所有申报产品均为拟中选产品，申报价格为拟中选价格</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P≤P0、自身非带量最低价和同采购品种同类别所有报价单元带量最低价的中位数三者低值</w:t>
            </w:r>
          </w:p>
        </w:tc>
        <w:tc>
          <w:tcPr>
            <w:tcW w:type="dxa" w:w="2296"/>
            <w:vAlign w:val="center"/>
          </w:tcPr>
          <w:p>
            <w:r>
              <w:rPr>
                <w:rFonts w:ascii="Calibri" w:hAnsi="Calibri" w:eastAsia="宋体"/>
                <w:sz w:val="20"/>
              </w:rPr>
              <w:t>同上</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P≤自身带量最低价和自身非带量最低价两者低值</w:t>
            </w:r>
          </w:p>
        </w:tc>
        <w:tc>
          <w:tcPr>
            <w:tcW w:type="dxa" w:w="2296"/>
            <w:vAlign w:val="center"/>
          </w:tcPr>
          <w:p>
            <w:r>
              <w:rPr>
                <w:rFonts w:ascii="Calibri" w:hAnsi="Calibri" w:eastAsia="宋体"/>
                <w:sz w:val="20"/>
              </w:rPr>
              <w:t>拟中选报价单元对应的申报产品为拟中选产品，申报价格为拟中选价格</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P≤自身非带量最低价（按平方厘米折算）和参考价两者低值</w:t>
            </w:r>
          </w:p>
        </w:tc>
        <w:tc>
          <w:tcPr>
            <w:tcW w:type="dxa" w:w="2296"/>
            <w:vAlign w:val="center"/>
          </w:tcPr>
          <w:p>
            <w:r>
              <w:rPr>
                <w:rFonts w:ascii="Calibri" w:hAnsi="Calibri" w:eastAsia="宋体"/>
                <w:sz w:val="20"/>
              </w:rPr>
              <w:t>拟中选报价单元对应的所有申报产品均为拟中选产品，申报价格与拟中选产品面积的乘积为拟中选价格（高于128元须接受价格纠偏）</w:t>
            </w:r>
          </w:p>
        </w:tc>
      </w:tr>
    </w:tbl>
    <w:p/>
    <w:p>
      <w:pPr>
        <w:pStyle w:val="Heading1"/>
      </w:pPr>
      <w:r>
        <w:t>协议采购量填报与采购执行</w:t>
      </w:r>
    </w:p>
    <w:p>
      <w:pPr>
        <w:spacing w:lineRule="auto" w:line="324"/>
        <w:ind w:firstLine="420"/>
      </w:pPr>
      <w:r>
        <w:rPr>
          <w:rFonts w:ascii="Calibri" w:hAnsi="Calibri" w:eastAsia="宋体"/>
          <w:b w:val="0"/>
          <w:sz w:val="22"/>
        </w:rPr>
        <w:t>中选结果公布后，广东省医疗机构将在招采子系统以同采购品种同类别同一注册证为单位填报首年协议采购量。原则上，各医疗机构总采购需求量不得少于其上一年度该品种总采购量的80%，审核通过后的医疗机构总采购需求量即为首年协议采购量。采购周期内，医疗机构须优先采购中选产品，确保中选产品总使用量占同采购品种总使用量的比例不低于70%。协议采购量每年一签，续签时医疗机构续签协议采购量原则上不低于上一年度协议采购量。超出协议采购量部分，中选企业仍需按中选价格进行供应，直至采购周期届满。结合既往同类项目经验，价格联动与最低价约束已成为跨省申报的核心校验维度，企业需前置统筹多省挂网状态与价格信息，建立常态化跨省价格监测机制以适配全国价格数据库动态更新的管理要求。</w:t>
      </w:r>
    </w:p>
    <w:p>
      <w:pPr>
        <w:pStyle w:val="Heading1"/>
      </w:pPr>
      <w:r>
        <w:t>价格联动要求</w:t>
      </w:r>
    </w:p>
    <w:p>
      <w:pPr>
        <w:spacing w:lineRule="auto" w:line="324"/>
        <w:ind w:firstLine="420"/>
      </w:pPr>
      <w:r>
        <w:rPr>
          <w:rFonts w:ascii="Calibri" w:hAnsi="Calibri" w:eastAsia="宋体"/>
          <w:b w:val="0"/>
          <w:sz w:val="22"/>
        </w:rPr>
        <w:t>采购周期内，若同一中选产品在其他省级（含省际联盟，如三明联盟）带量采购中的中选价格低于本次带量联动采购的中选价格，中选企业须接受价格联动，并应在新低中选价格公布之日起20个工作日内向深圳交易中心申报。麻醉管路、一次性使用有创血压传感器中选产品以同类别同注册证为单位进行价格联动，医用高分子夹板中选产品以同注册证同规格型号为单位进行价格联动。生效中的相关采购协议须按要求调整为新的中选价格继续执行。若不接受价格联动的，后续采购期内将视为其放弃对应产品的中选资格。企业主动降价或因政策性原因调整价格的，不改变相关产品的中选或非中选资格。</w:t>
      </w:r>
    </w:p>
    <w:p>
      <w:pPr>
        <w:pStyle w:val="Heading1"/>
      </w:pPr>
      <w:r>
        <w:t>非中选产品管理</w:t>
      </w:r>
    </w:p>
    <w:p>
      <w:pPr>
        <w:spacing w:lineRule="auto" w:line="324"/>
        <w:ind w:firstLine="420"/>
      </w:pPr>
      <w:r>
        <w:rPr>
          <w:rFonts w:ascii="Calibri" w:hAnsi="Calibri" w:eastAsia="宋体"/>
          <w:b w:val="0"/>
          <w:sz w:val="22"/>
        </w:rPr>
        <w:t>文件对非中选产品的挂网身份、协议采购量分配及价格门槛作出明确区分。仅符合广东省挂网要求的非中选产品，可以非中选身份在广东省挂网交易。符合特定价格条件的非中选产品可作为中选产品挂网采购，具体规则如下：对于麻醉管路和一次性使用有创血压传感器，属于已中选注册证的非中选产品，申报价格不高于自身带量最低价、自身非带量最低价和同采购品种同类别同注册证中选价格三者低值，且接受同采购品种同类别同注册证所有中选产品按就低原则调平价格的，可作为中选产品挂网并共享该采购年度内同采购品种同类别同注册证的协议采购量；不属于已中选注册证的非中选产品，申报价格不高于同采购品种同类别所有中选价格的中位数、自身带量最低价和自身非带量最低价三者低值的，可作为中选产品挂网，但该采购年度内无协议采购量。对于医用高分子夹板，非中选产品申报价格（按平方厘米申报）不高于其自身带量最低价与自身非带量最低价两者低值（按平方厘米折算），且不高于参考价的，可作为中选产品挂网，但该采购年度内无协议采购量。不符合上述要求的非中选产品，暂不予挂网。</w:t>
      </w:r>
    </w:p>
    <w:p>
      <w:r>
        <w:rPr>
          <w:rFonts w:ascii="Calibri" w:hAnsi="Calibri" w:eastAsia="宋体"/>
          <w:b/>
          <w:sz w:val="20"/>
        </w:rPr>
        <w:t>非中选产品挂网及协议采购量安排表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产品类型</w:t>
            </w:r>
          </w:p>
        </w:tc>
        <w:tc>
          <w:tcPr>
            <w:tcW w:type="dxa" w:w="2296"/>
            <w:vAlign w:val="center"/>
            <w:shd w:fill="D9EAF7"/>
          </w:tcPr>
          <w:p>
            <w:pPr>
              <w:jc w:val="center"/>
            </w:pPr>
            <w:r>
              <w:rPr>
                <w:rFonts w:ascii="Calibri" w:hAnsi="Calibri" w:eastAsia="宋体"/>
                <w:b/>
                <w:sz w:val="20"/>
              </w:rPr>
              <w:t>适用情形</w:t>
            </w:r>
          </w:p>
        </w:tc>
        <w:tc>
          <w:tcPr>
            <w:tcW w:type="dxa" w:w="2296"/>
            <w:vAlign w:val="center"/>
            <w:shd w:fill="D9EAF7"/>
          </w:tcPr>
          <w:p>
            <w:pPr>
              <w:jc w:val="center"/>
            </w:pPr>
            <w:r>
              <w:rPr>
                <w:rFonts w:ascii="Calibri" w:hAnsi="Calibri" w:eastAsia="宋体"/>
                <w:b/>
                <w:sz w:val="20"/>
              </w:rPr>
              <w:t>挂网或中选产品身份条件</w:t>
            </w:r>
          </w:p>
        </w:tc>
        <w:tc>
          <w:tcPr>
            <w:tcW w:type="dxa" w:w="2296"/>
            <w:vAlign w:val="center"/>
            <w:shd w:fill="D9EAF7"/>
          </w:tcPr>
          <w:p>
            <w:pPr>
              <w:jc w:val="center"/>
            </w:pPr>
            <w:r>
              <w:rPr>
                <w:rFonts w:ascii="Calibri" w:hAnsi="Calibri" w:eastAsia="宋体"/>
                <w:b/>
                <w:sz w:val="20"/>
              </w:rPr>
              <w:t>协议采购量安排</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属于已中选注册证的非中选产品</w:t>
            </w:r>
          </w:p>
        </w:tc>
        <w:tc>
          <w:tcPr>
            <w:tcW w:type="dxa" w:w="2296"/>
            <w:vAlign w:val="center"/>
          </w:tcPr>
          <w:p>
            <w:r>
              <w:rPr>
                <w:rFonts w:ascii="Calibri" w:hAnsi="Calibri" w:eastAsia="宋体"/>
                <w:sz w:val="20"/>
              </w:rPr>
              <w:t>申报价格≤自身带量最低价、自身非带量最低价和同采购品种同类别同注册证中选价格三者低值，且接受同注册证所有中选产品按就低原则调平价格</w:t>
            </w:r>
          </w:p>
        </w:tc>
        <w:tc>
          <w:tcPr>
            <w:tcW w:type="dxa" w:w="2296"/>
            <w:vAlign w:val="center"/>
          </w:tcPr>
          <w:p>
            <w:r>
              <w:rPr>
                <w:rFonts w:ascii="Calibri" w:hAnsi="Calibri" w:eastAsia="宋体"/>
                <w:sz w:val="20"/>
              </w:rPr>
              <w:t>可作为中选产品挂网，共享该采购年度内同采购品种同类别同注册证的协议采购量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不属于已中选注册证的非中选产品</w:t>
            </w:r>
          </w:p>
        </w:tc>
        <w:tc>
          <w:tcPr>
            <w:tcW w:type="dxa" w:w="2296"/>
            <w:vAlign w:val="center"/>
          </w:tcPr>
          <w:p>
            <w:r>
              <w:rPr>
                <w:rFonts w:ascii="Calibri" w:hAnsi="Calibri" w:eastAsia="宋体"/>
                <w:sz w:val="20"/>
              </w:rPr>
              <w:t>申报价格≤同采购品种同类别所有中选价格的中位数、自身带量最低价和自身非带量最低价三者低值</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非中选产品</w:t>
            </w:r>
          </w:p>
        </w:tc>
        <w:tc>
          <w:tcPr>
            <w:tcW w:type="dxa" w:w="2296"/>
            <w:vAlign w:val="center"/>
          </w:tcPr>
          <w:p>
            <w:r>
              <w:rPr>
                <w:rFonts w:ascii="Calibri" w:hAnsi="Calibri" w:eastAsia="宋体"/>
                <w:sz w:val="20"/>
              </w:rPr>
              <w:t>申报价格（按平方厘米）≤自身带量最低价与自身非带量最低价两者低值（按平方厘米折算），且≤参考价</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全部品种</w:t>
            </w:r>
          </w:p>
        </w:tc>
        <w:tc>
          <w:tcPr>
            <w:tcW w:type="dxa" w:w="2296"/>
            <w:vAlign w:val="center"/>
          </w:tcPr>
          <w:p>
            <w:r>
              <w:rPr>
                <w:rFonts w:ascii="Calibri" w:hAnsi="Calibri" w:eastAsia="宋体"/>
                <w:sz w:val="20"/>
              </w:rPr>
              <w:t>仅符合广东省挂网要求</w:t>
            </w:r>
          </w:p>
        </w:tc>
        <w:tc>
          <w:tcPr>
            <w:tcW w:type="dxa" w:w="2296"/>
            <w:vAlign w:val="center"/>
          </w:tcPr>
          <w:p>
            <w:r>
              <w:rPr>
                <w:rFonts w:ascii="Calibri" w:hAnsi="Calibri" w:eastAsia="宋体"/>
                <w:sz w:val="20"/>
              </w:rPr>
              <w:t>符合广东省挂网要求</w:t>
            </w:r>
          </w:p>
        </w:tc>
        <w:tc>
          <w:tcPr>
            <w:tcW w:type="dxa" w:w="2296"/>
            <w:vAlign w:val="center"/>
          </w:tcPr>
          <w:p>
            <w:r>
              <w:rPr>
                <w:rFonts w:ascii="Calibri" w:hAnsi="Calibri" w:eastAsia="宋体"/>
                <w:sz w:val="20"/>
              </w:rPr>
              <w:t>以非中选身份在广东省挂网交易</w:t>
            </w:r>
          </w:p>
        </w:tc>
      </w:tr>
      <w:tr>
        <w:tc>
          <w:tcPr>
            <w:tcW w:type="dxa" w:w="2296"/>
            <w:vAlign w:val="center"/>
          </w:tcPr>
          <w:p>
            <w:r>
              <w:rPr>
                <w:rFonts w:ascii="Calibri" w:hAnsi="Calibri" w:eastAsia="宋体"/>
                <w:sz w:val="20"/>
              </w:rPr>
              <w:t>全部品种</w:t>
            </w:r>
          </w:p>
        </w:tc>
        <w:tc>
          <w:tcPr>
            <w:tcW w:type="dxa" w:w="2296"/>
            <w:vAlign w:val="center"/>
          </w:tcPr>
          <w:p>
            <w:r>
              <w:rPr>
                <w:rFonts w:ascii="Calibri" w:hAnsi="Calibri" w:eastAsia="宋体"/>
                <w:sz w:val="20"/>
              </w:rPr>
              <w:t>不符合上述要求</w:t>
            </w:r>
          </w:p>
        </w:tc>
        <w:tc>
          <w:tcPr>
            <w:tcW w:type="dxa" w:w="2296"/>
            <w:vAlign w:val="center"/>
          </w:tcPr>
          <w:p>
            <w:pPr>
              <w:jc w:val="center"/>
            </w:pPr>
            <w:r>
              <w:rPr>
                <w:rFonts w:ascii="Calibri" w:hAnsi="Calibri" w:eastAsia="宋体"/>
                <w:sz w:val="20"/>
              </w:rPr>
              <w:t>-</w:t>
            </w:r>
          </w:p>
        </w:tc>
        <w:tc>
          <w:tcPr>
            <w:tcW w:type="dxa" w:w="2296"/>
            <w:vAlign w:val="center"/>
          </w:tcPr>
          <w:p>
            <w:r>
              <w:rPr>
                <w:rFonts w:ascii="Calibri" w:hAnsi="Calibri" w:eastAsia="宋体"/>
                <w:sz w:val="20"/>
              </w:rPr>
              <w:t>暂不予挂网</w:t>
            </w:r>
          </w:p>
        </w:tc>
      </w:tr>
    </w:tbl>
    <w:p/>
    <w:p>
      <w:pPr>
        <w:pStyle w:val="Heading1"/>
      </w:pPr>
      <w:r>
        <w:t>名词解释</w:t>
      </w:r>
    </w:p>
    <w:p>
      <w:pPr>
        <w:spacing w:lineRule="auto" w:line="324"/>
        <w:ind w:firstLine="420"/>
      </w:pPr>
      <w:r>
        <w:rPr>
          <w:rFonts w:ascii="Calibri" w:hAnsi="Calibri" w:eastAsia="宋体"/>
          <w:b w:val="0"/>
          <w:sz w:val="22"/>
        </w:rPr>
        <w:t>1. 中选产品：指获得中选资格的产品。 2. 2.</w:t>
      </w:r>
    </w:p>
    <w:p>
      <w:pPr>
        <w:spacing w:lineRule="auto" w:line="324"/>
        <w:ind w:firstLine="420"/>
      </w:pPr>
      <w:r>
        <w:rPr>
          <w:rFonts w:ascii="Calibri" w:hAnsi="Calibri" w:eastAsia="宋体"/>
          <w:b w:val="0"/>
          <w:sz w:val="22"/>
        </w:rPr>
        <w:t>2. 带量最低价：指全国现行省级（含省际联盟）集中带量采购最低中选价格；报价单元内的报名规格型号存在多个不同价格的，按就低原则取值。 3. 3.</w:t>
      </w:r>
    </w:p>
    <w:p>
      <w:pPr>
        <w:spacing w:lineRule="auto" w:line="324"/>
        <w:ind w:firstLine="420"/>
      </w:pPr>
      <w:r>
        <w:rPr>
          <w:rFonts w:ascii="Calibri" w:hAnsi="Calibri" w:eastAsia="宋体"/>
          <w:b w:val="0"/>
          <w:sz w:val="22"/>
        </w:rPr>
        <w:t>3. 非带量最低价：指全国（不含广东）省级最低挂网价格和广东省最低价两者低值，其中广东省最低价指省平台、广州平台、深圳平台三个平台的最低价，包括挂网价格、线下采购上传的价格和实际交易价格；报价单元内的报名规格型号存在多个不同价格的，按就低原则取值。 4. 4.</w:t>
      </w:r>
    </w:p>
    <w:p>
      <w:pPr>
        <w:spacing w:lineRule="auto" w:line="324"/>
        <w:ind w:firstLine="420"/>
      </w:pPr>
      <w:r>
        <w:rPr>
          <w:rFonts w:ascii="Calibri" w:hAnsi="Calibri" w:eastAsia="宋体"/>
          <w:b w:val="0"/>
          <w:sz w:val="22"/>
        </w:rPr>
        <w:t>4. 非中选产品：是指属于本次带量联动采购范围内，但未获得中选资格的产品，具体包括未报名产品、报名未报价产品和报价未中选产品、新获批的产品等。</w:t>
      </w:r>
    </w:p>
    <w:p>
      <w:pPr>
        <w:pStyle w:val="Heading1"/>
      </w:pPr>
      <w:r>
        <w:t>企业关注点</w:t>
      </w:r>
    </w:p>
    <w:p>
      <w:pPr>
        <w:spacing w:lineRule="auto" w:line="324"/>
        <w:ind w:firstLine="420"/>
      </w:pPr>
      <w:r>
        <w:rPr>
          <w:rFonts w:ascii="Calibri" w:hAnsi="Calibri" w:eastAsia="宋体"/>
          <w:b w:val="0"/>
          <w:sz w:val="22"/>
        </w:rPr>
        <w:t>企业需严格核对报价单元划分与计价单位，医用高分子夹板区分有无带量最低价采用不同报价单元及单位，填报错误将导致无效报价。</w:t>
      </w:r>
    </w:p>
    <w:p>
      <w:pPr>
        <w:spacing w:lineRule="auto" w:line="324"/>
        <w:ind w:firstLine="420"/>
      </w:pPr>
      <w:r>
        <w:rPr>
          <w:rFonts w:ascii="Calibri" w:hAnsi="Calibri" w:eastAsia="宋体"/>
          <w:b w:val="0"/>
          <w:sz w:val="22"/>
        </w:rPr>
        <w:t>拟中选价格高于128元的医用高分子夹板产品须接受价格纠偏，企业应提前评估成本与纠偏阈值，避免因拒绝纠偏丧失拟中选资格。</w:t>
      </w:r>
    </w:p>
    <w:p>
      <w:pPr>
        <w:spacing w:lineRule="auto" w:line="324"/>
        <w:ind w:firstLine="420"/>
      </w:pPr>
      <w:r>
        <w:rPr>
          <w:rFonts w:ascii="Calibri" w:hAnsi="Calibri" w:eastAsia="宋体"/>
          <w:b w:val="0"/>
          <w:sz w:val="22"/>
        </w:rPr>
        <w:t>价格联动申报时限为20个工作日，不接受联动将直接视为放弃中选资格，企业需建立跨省价格动态跟踪与内部快速响应机制。</w:t>
      </w:r>
    </w:p>
    <w:p>
      <w:pPr>
        <w:spacing w:lineRule="auto" w:line="324"/>
        <w:ind w:firstLine="420"/>
      </w:pPr>
      <w:r>
        <w:rPr>
          <w:rFonts w:ascii="Calibri" w:hAnsi="Calibri" w:eastAsia="宋体"/>
          <w:b w:val="0"/>
          <w:sz w:val="22"/>
        </w:rPr>
        <w:t>非中选产品若希望获得协议采购量保障，需满足严格的“就低原则”调平要求，已中选注册证内的非中选产品与跨注册证产品的挂网路径及协议量分配存在显著差异。</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2026-05-31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《广东省麻醉管路等三类医用耗材带量联动采购文件》</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