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测试报告</w:t>
      </w:r>
    </w:p>
    <w:p>
      <w:pPr>
        <w:spacing w:lineRule="auto" w:line="324"/>
        <w:ind w:firstLine="420"/>
      </w:pPr>
      <w:r>
        <w:rPr>
          <w:rFonts w:ascii="Calibri" w:hAnsi="Calibri" w:eastAsia="宋体"/>
          <w:b w:val="0"/>
          <w:sz w:val="22"/>
        </w:rPr>
        <w:t>采购周期为2年。</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未披露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医药器械采购项目分析报告</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