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短</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未披露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医药器械采购项目分析报告</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