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SimSun" w:hAnsi="SimSun" w:eastAsia="宋体"/>
          <w:b/>
          <w:sz w:val="36"/>
        </w:rPr>
        <w:t>贵州医疗保障公共服务平台公告分析（框架版）</w:t>
      </w:r>
    </w:p>
    <w:p>
      <w:pPr>
        <w:spacing w:lineRule="auto" w:line="324"/>
        <w:ind w:firstLine="420"/>
      </w:pPr>
      <w:r>
        <w:rPr>
          <w:rFonts w:ascii="Calibri" w:hAnsi="Calibri" w:eastAsia="宋体"/>
          <w:b w:val="0"/>
          <w:sz w:val="22"/>
        </w:rPr>
        <w:t>本次输入材料仅包含平台标题及访问链接，未提供具体公告正文、采购文件或附件内容。根据省级医保采购平台常规业务属性，该入口通常用于发布药品、医用耗材及体外诊断试剂的集中带量采购、挂网采购或价格联动公告。鉴于当前页面缺乏实质披露，本报告已按省级医药器械集采标准分析框架进行结构化预留，待官方完整公告及附件发布后，将自动提取采购品种、价格门槛、拟中选规则、非中选产品管理及执行要求等核心信息并生成详细解读。</w:t>
      </w:r>
    </w:p>
    <w:p>
      <w:pPr>
        <w:pStyle w:val="Heading1"/>
      </w:pPr>
      <w:r>
        <w:t>公告背景与平台性质解读</w:t>
      </w:r>
    </w:p>
    <w:p>
      <w:pPr>
        <w:spacing w:lineRule="auto" w:line="324"/>
        <w:ind w:firstLine="420"/>
      </w:pPr>
      <w:r>
        <w:rPr>
          <w:rFonts w:ascii="Calibri" w:hAnsi="Calibri" w:eastAsia="宋体"/>
          <w:b w:val="0"/>
          <w:sz w:val="22"/>
        </w:rPr>
        <w:t>贵州医疗保障公共服务平台为贵州省医疗保障局官方指定的医药采购信息发布与业务办理统一入口。当前页面仅展示平台基础导航信息，未披露具体采购项目名称、采购批次、适用周期或政策依据。根据平台职能定位，后续公告大概率涉及省级集中带量采购、阳光挂网、价格联动或医保支付标准调整等事项。企业需明确该平台为唯一官方信息源，所有采购规则、时间节点及资质要求均以平台正式发布的红头文件及附件为准。</w:t>
      </w:r>
    </w:p>
    <w:p>
      <w:pPr>
        <w:pStyle w:val="Heading1"/>
      </w:pPr>
      <w:r>
        <w:t>采购品种与范围预判</w:t>
      </w:r>
    </w:p>
    <w:p>
      <w:pPr>
        <w:spacing w:lineRule="auto" w:line="324"/>
        <w:ind w:firstLine="420"/>
      </w:pPr>
      <w:r>
        <w:rPr>
          <w:rFonts w:ascii="Calibri" w:hAnsi="Calibri" w:eastAsia="宋体"/>
          <w:b w:val="0"/>
          <w:sz w:val="22"/>
        </w:rPr>
        <w:t>省级医保采购平台常规覆盖化学药、中成药、生物制品、高值医用耗材、低值医用耗材及体外诊断试剂等品类。当前文件未披露具体采购目录、产品分组逻辑、质量层次划分标准及覆盖医疗机构范围。待附件发布后，将重点核对产品注册证适用范围、国家医保医用耗材分类与代码匹配度、历史采购量基数及临床使用场景。企业应提前梳理自身产品资质，确保符合省级平台挂网或集采申报的基本准入条件，避免因资质不全或编码错误导致申报失败。</w:t>
      </w:r>
    </w:p>
    <w:p>
      <w:pPr>
        <w:pStyle w:val="Heading1"/>
      </w:pPr>
      <w:r>
        <w:t>采购周期与流程框架预判</w:t>
      </w:r>
    </w:p>
    <w:p>
      <w:pPr>
        <w:spacing w:lineRule="auto" w:line="324"/>
        <w:ind w:firstLine="420"/>
      </w:pPr>
      <w:r>
        <w:rPr>
          <w:rFonts w:ascii="Calibri" w:hAnsi="Calibri" w:eastAsia="宋体"/>
          <w:b w:val="0"/>
          <w:sz w:val="22"/>
        </w:rPr>
        <w:t>省级医药器械集中采购通常遵循“公告发布—企业申报—资质审核—报价/议价—拟中选公示—正式执行”的标准流程。当前页面未披露具体时间节点、申报窗口期、资质递交方式、系统操作指引及异议申诉渠道。常规周期中，企业需密切关注平台系统开放时间，按时完成企业信息维护、产品绑定、授权委托及报价提交。建议企业指定专人负责平台账号维护与系统操作，提前测试网络环境与浏览器兼容性，避免因系统操作失误、材料逾期或格式不符导致资格丧失。</w:t>
      </w:r>
    </w:p>
    <w:p>
      <w:pPr>
        <w:pStyle w:val="Heading1"/>
      </w:pPr>
      <w:r>
        <w:t>核心规则与报价机制常规框架</w:t>
      </w:r>
    </w:p>
    <w:p>
      <w:pPr>
        <w:spacing w:lineRule="auto" w:line="324"/>
        <w:ind w:firstLine="420"/>
      </w:pPr>
      <w:r>
        <w:rPr>
          <w:rFonts w:ascii="Calibri" w:hAnsi="Calibri" w:eastAsia="宋体"/>
          <w:b w:val="0"/>
          <w:sz w:val="22"/>
        </w:rPr>
        <w:t>集中采购的核心规则通常涵盖最高有效申报价（限价）设定、报价降幅要求、拟中选规则（如综合评分、价格优先、质量分层、复活机制）及协议采购量分配机制。当前文件未披露具体限价标准、报价规则、中选比例及带量采购量分配逻辑。待规则明确后，将重点分析价格测算模型、成本底线评估、多产品组合报价策略及配送企业遴选要求。企业应提前开展内部成本核算，结合历史中标价、周边省份联动价及原材料波动趋势，制定合规且具竞争力的报价方案，严禁低于成本价恶意竞争。</w:t>
      </w:r>
    </w:p>
    <w:p>
      <w:pPr>
        <w:pStyle w:val="Heading1"/>
      </w:pPr>
      <w:r>
        <w:t>非中选产品管理与价格联动机制</w:t>
      </w:r>
    </w:p>
    <w:p>
      <w:pPr>
        <w:spacing w:lineRule="auto" w:line="324"/>
        <w:ind w:firstLine="420"/>
      </w:pPr>
      <w:r>
        <w:rPr>
          <w:rFonts w:ascii="Calibri" w:hAnsi="Calibri" w:eastAsia="宋体"/>
          <w:b w:val="0"/>
          <w:sz w:val="22"/>
        </w:rPr>
        <w:t>省级集采通常配套非中选产品挂网管理、价格梯度限制及医保支付标准调整政策。常规机制要求非中选产品价格不得高于中选产品一定比例，或需主动申报降价以维持挂网资格；部分省份实行“梯度降价”或“限价挂网”管理。同时，医保支付标准通常与中选价挂钩，超出支付标准部分由患者自付。当前公告未披露具体联动规则、支付标准调整幅度、非中选产品考核周期及退出机制。企业需评估非中选产品的市场定位与利润空间，提前规划价格调整路径、产品升级迭代或替代产品布局。</w:t>
      </w:r>
    </w:p>
    <w:p>
      <w:pPr>
        <w:pStyle w:val="Heading1"/>
      </w:pPr>
      <w:r>
        <w:t>待明确事项与后续跟踪建议</w:t>
      </w:r>
    </w:p>
    <w:p>
      <w:pPr>
        <w:spacing w:lineRule="auto" w:line="324"/>
        <w:ind w:firstLine="420"/>
      </w:pPr>
      <w:r>
        <w:rPr>
          <w:rFonts w:ascii="Calibri" w:hAnsi="Calibri" w:eastAsia="宋体"/>
          <w:b w:val="0"/>
          <w:sz w:val="22"/>
        </w:rPr>
        <w:t>鉴于当前输入材料仅含平台入口链接，核心采购要素（品种目录、限价、时间节点、执行周期、配送要求、考核机制、回款周期等）均待后续公告明确。建议企业每日定时刷新贵州医疗保障公共服务平台“采购公告”或“耗材/药品采购”专栏，关注附件下载链接及系统通知。正式文件发布后，本报告将自动更新为完整分析版本，提供逐条规则解读、报价测算模板、合规风险提示及应对策略。在官方文件披露前，所有规则细节、价格门槛及执行要求均以“文件未披露”或“待后续公告明确”为准。</w:t>
      </w:r>
    </w:p>
    <w:p>
      <w:pPr>
        <w:pStyle w:val="Heading1"/>
      </w:pPr>
      <w:r>
        <w:t>企业关注点</w:t>
      </w:r>
    </w:p>
    <w:p>
      <w:pPr>
        <w:spacing w:lineRule="auto" w:line="324"/>
        <w:ind w:firstLine="420"/>
      </w:pPr>
      <w:r>
        <w:rPr>
          <w:rFonts w:ascii="Calibri" w:hAnsi="Calibri" w:eastAsia="宋体"/>
          <w:b w:val="0"/>
          <w:sz w:val="22"/>
        </w:rPr>
        <w:t>建立省级平台专项监测机制，指定专人每日跟踪公告更新、附件发布及系统通知。</w:t>
      </w:r>
    </w:p>
    <w:p>
      <w:pPr>
        <w:spacing w:lineRule="auto" w:line="324"/>
        <w:ind w:firstLine="420"/>
      </w:pPr>
      <w:r>
        <w:rPr>
          <w:rFonts w:ascii="Calibri" w:hAnsi="Calibri" w:eastAsia="宋体"/>
          <w:b w:val="0"/>
          <w:sz w:val="22"/>
        </w:rPr>
        <w:t>提前完成企业基本信息、产品注册证、生产/经营许可证、授权链条等资质在平台的维护与核验。</w:t>
      </w:r>
    </w:p>
    <w:p>
      <w:pPr>
        <w:spacing w:lineRule="auto" w:line="324"/>
        <w:ind w:firstLine="420"/>
      </w:pPr>
      <w:r>
        <w:rPr>
          <w:rFonts w:ascii="Calibri" w:hAnsi="Calibri" w:eastAsia="宋体"/>
          <w:b w:val="0"/>
          <w:sz w:val="22"/>
        </w:rPr>
        <w:t>梳理历史中标价、周边省份联动价及企业成本底线，建立内部报价测算模型与多情景应对预案。</w:t>
      </w:r>
    </w:p>
    <w:p>
      <w:pPr>
        <w:spacing w:lineRule="auto" w:line="324"/>
        <w:ind w:firstLine="420"/>
      </w:pPr>
      <w:r>
        <w:rPr>
          <w:rFonts w:ascii="Calibri" w:hAnsi="Calibri" w:eastAsia="宋体"/>
          <w:b w:val="0"/>
          <w:sz w:val="22"/>
        </w:rPr>
        <w:t>关注非中选产品管理政策趋势，提前规划价格调整路径、产品升级迭代或替代产品布局。</w:t>
      </w:r>
    </w:p>
    <w:p>
      <w:pPr>
        <w:spacing w:lineRule="auto" w:line="324"/>
        <w:ind w:firstLine="420"/>
      </w:pPr>
      <w:r>
        <w:rPr>
          <w:rFonts w:ascii="Calibri" w:hAnsi="Calibri" w:eastAsia="宋体"/>
          <w:b w:val="0"/>
          <w:sz w:val="22"/>
        </w:rPr>
        <w:t>所有规则细节、价格门槛、采购量分配及执行要求均以官方最终发布文件为准，严禁依据非官方渠道信息进行决策。</w:t>
      </w:r>
    </w:p>
    <w:p>
      <w:pPr>
        <w:spacing w:before="240" w:after="160"/>
        <w:jc w:val="center"/>
      </w:pPr>
      <w:r>
        <w:rPr>
          <w:rFonts w:ascii="KaiTi" w:hAnsi="KaiTi" w:eastAsia="楷体"/>
          <w:b/>
          <w:sz w:val="44"/>
        </w:rPr>
        <w:t>声  明</w:t>
      </w:r>
    </w:p>
    <w:p>
      <w:pPr>
        <w:spacing w:lineRule="auto" w:line="324"/>
        <w:ind w:firstLine="420"/>
      </w:pPr>
      <w:r>
        <w:rPr>
          <w:rFonts w:ascii="SimSun" w:hAnsi="SimSun" w:eastAsia="宋体"/>
          <w:sz w:val="32"/>
        </w:rPr>
        <w:t>本文基于互联网公开资料进行整理，目的在于传递分享信息，仅供读者参考之用。本网站不保证信息的准确性、有效性、及时性和完整性。本公司及其雇员一概毋须以任何方式就任何信息传递或传送的失误、不准确或错误，对用户或任何其他人士负任何直接或间接责任。在法律允许的范围内，本公司在此声明，不承担用户或任何人士就使用或未能使用本网站所提供的信息或任何链接所引致的任何直接、间接、附带、从属、特殊、惩罚性或惩戒性的损害赔偿。</w:t>
      </w:r>
    </w:p>
    <w:sectPr w:rsidR="00FC693F" w:rsidRPr="0006063C" w:rsidSect="00034616">
      <w:headerReference w:type="default" r:id="rId9"/>
      <w:footerReference w:type="default" r:id="rId10"/>
      <w:pgSz w:w="11906" w:h="16838"/>
      <w:pgMar w:top="1247" w:right="1361"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宋体"/>
        <w:color w:val="787878"/>
        <w:sz w:val="18"/>
      </w:rPr>
      <w:t xml:space="preserve">生成日期: 待补充  |  第 </w:t>
    </w:r>
    <w:r>
      <w:rPr>
        <w:rFonts w:ascii="Calibri" w:hAnsi="Calibri" w:eastAsia="宋体"/>
        <w:color w:val="787878"/>
        <w:sz w:val="18"/>
      </w:rPr>
      <w:fldChar w:fldCharType="begin"/>
      <w:instrText xml:space="preserve">PAGE</w:instrText>
      <w:fldChar w:fldCharType="end"/>
    </w:r>
    <w:r>
      <w:rPr>
        <w:rFonts w:ascii="Calibri" w:hAnsi="Calibri" w:eastAsia="宋体"/>
        <w:color w:val="787878"/>
        <w:sz w:val="18"/>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Calibri" w:hAnsi="Calibri" w:eastAsia="宋体"/>
        <w:color w:val="787878"/>
        <w:sz w:val="18"/>
      </w:rPr>
      <w:t>待补充</w:t>
    </w:r>
    <w:r>
      <w:pict>
        <v:shape id="PowerPlusWaterMarkObject" o:spid="_x0000_s1025" type="#_x0000_t136" style="position:absolute;margin-left:0;margin-top:0;width:420pt;height:120pt;rotation:315;z-index:-251654144;mso-position-horizontal:center;mso-position-vertical:center" fillcolor="#d9d9d9" stroked="f">
          <v:fill opacity=".12"/>
          <v:textpath style="font-family:宋体;font-size:1pt" string="易联器械"/>
        </v:shape>
      </w:pic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Rule="auto" w:line="324" w:after="120"/>
    </w:pPr>
    <w:rPr>
      <w:rFonts w:ascii="Calibri" w:hAnsi="Calibri"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eastAsia="宋体"/>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宋体"/>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