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重庆医用耗材挂网价格核实确认通知分析</w:t>
      </w:r>
    </w:p>
    <w:p>
      <w:pPr>
        <w:spacing w:lineRule="auto" w:line="324"/>
        <w:ind w:firstLine="420"/>
      </w:pPr>
      <w:r>
        <w:rPr>
          <w:rFonts w:ascii="Calibri" w:hAnsi="Calibri" w:eastAsia="宋体"/>
          <w:b w:val="0"/>
          <w:sz w:val="22"/>
        </w:rPr>
        <w:t>2026年3月13日，重庆药品交易所发布《关于开展部分医用耗材挂网价格信息核实确认的通知》。本次通知基于《重庆市医用耗材挂网交易采购工作细则》及全市医药价格监测管理要求，针对招采子系统内部分医用耗材挂网价与外省最低挂网价不一致的情况开展核实确认工作。</w:t>
      </w:r>
    </w:p>
    <w:p>
      <w:pPr>
        <w:spacing w:lineRule="auto" w:line="324"/>
        <w:ind w:firstLine="420"/>
      </w:pPr>
      <w:r>
        <w:rPr>
          <w:rFonts w:ascii="Calibri" w:hAnsi="Calibri" w:eastAsia="宋体"/>
          <w:b w:val="0"/>
          <w:sz w:val="22"/>
        </w:rPr>
        <w:t>文件明确，相关企业需在2026年3月27日前完成价格确认或异议申诉。对无异议产品，企业须以现行全国最低挂网价为基准主动下调10%以保留挂网资格；逾期未确认或下调不到位的，将面临取消挂网资格且两年内不再受理的后果。处置结果将报送重庆市医疗保障局。</w:t>
      </w:r>
    </w:p>
    <w:p>
      <w:pPr>
        <w:pStyle w:val="Heading1"/>
      </w:pPr>
      <w:r>
        <w:t>比价基准与核查范围</w:t>
      </w:r>
    </w:p>
    <w:p>
      <w:pPr>
        <w:spacing w:lineRule="auto" w:line="324"/>
        <w:ind w:firstLine="420"/>
      </w:pPr>
      <w:r>
        <w:rPr>
          <w:rFonts w:ascii="Calibri" w:hAnsi="Calibri" w:eastAsia="宋体"/>
          <w:b w:val="0"/>
          <w:sz w:val="22"/>
        </w:rPr>
        <w:t>本次挂网产品比价工作以2026年1月14日重庆药品和医用耗材招采管理子系统（以下简称“招采子系统”）的有效挂网数据为基准。经比对，发现部分产品挂网价与收集到的外省最低挂网价存在不一致情况。</w:t>
      </w:r>
    </w:p>
    <w:p>
      <w:pPr>
        <w:spacing w:lineRule="auto" w:line="324"/>
        <w:ind w:firstLine="420"/>
      </w:pPr>
      <w:r>
        <w:rPr>
          <w:rFonts w:ascii="Calibri" w:hAnsi="Calibri" w:eastAsia="宋体"/>
          <w:b w:val="0"/>
          <w:sz w:val="22"/>
        </w:rPr>
        <w:t>涉及的具体产品信息及价格差异已通过招采子系统向相关企业推送，相关企业需及时登录系统查看。涉及的企业名单详见通知附件《医用耗材挂网价格待确认企业信息表》。</w:t>
      </w:r>
    </w:p>
    <w:p>
      <w:pPr>
        <w:pStyle w:val="Heading1"/>
      </w:pPr>
      <w:r>
        <w:t>无异议情形下的价格调整要求</w:t>
      </w:r>
    </w:p>
    <w:p>
      <w:pPr>
        <w:spacing w:lineRule="auto" w:line="324"/>
        <w:ind w:firstLine="420"/>
      </w:pPr>
      <w:r>
        <w:rPr>
          <w:rFonts w:ascii="Calibri" w:hAnsi="Calibri" w:eastAsia="宋体"/>
          <w:b w:val="0"/>
          <w:sz w:val="22"/>
        </w:rPr>
        <w:t>企业对本次比价结果无异议的，需严格按照文件规定的路径和幅度完成价格下调。企业应于2026年3月27日前，通过“招采子系统—器械管理—挂网价格管理列表”进行操作。</w:t>
      </w:r>
    </w:p>
    <w:p>
      <w:pPr>
        <w:spacing w:lineRule="auto" w:line="324"/>
        <w:ind w:firstLine="420"/>
      </w:pPr>
      <w:r>
        <w:rPr>
          <w:rFonts w:ascii="Calibri" w:hAnsi="Calibri" w:eastAsia="宋体"/>
          <w:b w:val="0"/>
          <w:sz w:val="22"/>
        </w:rPr>
        <w:t>价格下调的基准为“现行全国最低挂网价”，下调幅度为10%。企业需主动下调挂网价10%以保留挂网资格。若企业未在规定时间内通过招采子系统下调挂网价，或下调幅度不到位，将直接取消该产品挂网资格，且自取消之日起两年内不再受理其挂网申请。</w:t>
      </w:r>
    </w:p>
    <w:p>
      <w:r>
        <w:rPr>
          <w:rFonts w:ascii="Calibri" w:hAnsi="Calibri" w:eastAsia="宋体"/>
          <w:b/>
          <w:color w:val="C00000"/>
          <w:sz w:val="22"/>
        </w:rPr>
        <w:t>对未如实申报或逾期未更新外省挂网价的，经核查属实，按核实后的外省挂网价最低值下调10%作为挂网价。</w:t>
      </w:r>
    </w:p>
    <w:p>
      <w:r>
        <w:rPr>
          <w:rFonts w:ascii="Calibri" w:hAnsi="Calibri" w:eastAsia="宋体"/>
          <w:b/>
          <w:sz w:val="20"/>
        </w:rPr>
        <w:t>价格确认与调整执行要求表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事项</w:t>
            </w:r>
          </w:p>
        </w:tc>
        <w:tc>
          <w:tcPr>
            <w:tcW w:type="dxa" w:w="3061"/>
            <w:vAlign w:val="center"/>
            <w:shd w:fill="D9EAF7"/>
          </w:tcPr>
          <w:p>
            <w:pPr>
              <w:jc w:val="center"/>
            </w:pPr>
            <w:r>
              <w:rPr>
                <w:rFonts w:ascii="Calibri" w:hAnsi="Calibri" w:eastAsia="宋体"/>
                <w:b/>
                <w:sz w:val="20"/>
              </w:rPr>
              <w:t>规则要求</w:t>
            </w:r>
          </w:p>
        </w:tc>
        <w:tc>
          <w:tcPr>
            <w:tcW w:type="dxa" w:w="3061"/>
            <w:vAlign w:val="center"/>
            <w:shd w:fill="D9EAF7"/>
          </w:tcPr>
          <w:p>
            <w:pPr>
              <w:jc w:val="center"/>
            </w:pPr>
            <w:r>
              <w:rPr>
                <w:rFonts w:ascii="Calibri" w:hAnsi="Calibri" w:eastAsia="宋体"/>
                <w:b/>
                <w:sz w:val="20"/>
              </w:rPr>
              <w:t>后果或备注</w:t>
            </w:r>
          </w:p>
        </w:tc>
      </w:tr>
      <w:tr>
        <w:tc>
          <w:tcPr>
            <w:tcW w:type="dxa" w:w="3061"/>
            <w:vAlign w:val="center"/>
          </w:tcPr>
          <w:p>
            <w:r>
              <w:rPr>
                <w:rFonts w:ascii="Calibri" w:hAnsi="Calibri" w:eastAsia="宋体"/>
                <w:sz w:val="20"/>
              </w:rPr>
              <w:t>操作路径</w:t>
            </w:r>
          </w:p>
        </w:tc>
        <w:tc>
          <w:tcPr>
            <w:tcW w:type="dxa" w:w="3061"/>
            <w:vAlign w:val="center"/>
          </w:tcPr>
          <w:p>
            <w:r>
              <w:rPr>
                <w:rFonts w:ascii="Calibri" w:hAnsi="Calibri" w:eastAsia="宋体"/>
                <w:sz w:val="20"/>
              </w:rPr>
              <w:t>招采子系统—器械管理—挂网价格管理列表</w:t>
            </w:r>
          </w:p>
        </w:tc>
        <w:tc>
          <w:tcPr>
            <w:tcW w:type="dxa" w:w="3061"/>
            <w:vAlign w:val="center"/>
          </w:tcPr>
          <w:p>
            <w:r>
              <w:rPr>
                <w:rFonts w:ascii="Calibri" w:hAnsi="Calibri" w:eastAsia="宋体"/>
                <w:sz w:val="20"/>
              </w:rPr>
              <w:t>企业需自行登录系统操作</w:t>
            </w:r>
          </w:p>
        </w:tc>
      </w:tr>
      <w:tr>
        <w:tc>
          <w:tcPr>
            <w:tcW w:type="dxa" w:w="3061"/>
            <w:vAlign w:val="center"/>
          </w:tcPr>
          <w:p>
            <w:r>
              <w:rPr>
                <w:rFonts w:ascii="Calibri" w:hAnsi="Calibri" w:eastAsia="宋体"/>
                <w:sz w:val="20"/>
              </w:rPr>
              <w:t>下调基准</w:t>
            </w:r>
          </w:p>
        </w:tc>
        <w:tc>
          <w:tcPr>
            <w:tcW w:type="dxa" w:w="3061"/>
            <w:vAlign w:val="center"/>
          </w:tcPr>
          <w:p>
            <w:r>
              <w:rPr>
                <w:rFonts w:ascii="Calibri" w:hAnsi="Calibri" w:eastAsia="宋体"/>
                <w:sz w:val="20"/>
              </w:rPr>
              <w:t>现行全国最低挂网价</w:t>
            </w:r>
          </w:p>
        </w:tc>
        <w:tc>
          <w:tcPr>
            <w:tcW w:type="dxa" w:w="3061"/>
            <w:vAlign w:val="center"/>
          </w:tcPr>
          <w:p>
            <w:r>
              <w:rPr>
                <w:rFonts w:ascii="Calibri" w:hAnsi="Calibri" w:eastAsia="宋体"/>
                <w:sz w:val="20"/>
              </w:rPr>
              <w:t>以系统推送或企业申报数据为准</w:t>
            </w:r>
          </w:p>
        </w:tc>
      </w:tr>
      <w:tr>
        <w:tc>
          <w:tcPr>
            <w:tcW w:type="dxa" w:w="3061"/>
            <w:vAlign w:val="center"/>
          </w:tcPr>
          <w:p>
            <w:r>
              <w:rPr>
                <w:rFonts w:ascii="Calibri" w:hAnsi="Calibri" w:eastAsia="宋体"/>
                <w:sz w:val="20"/>
              </w:rPr>
              <w:t>下调幅度</w:t>
            </w:r>
          </w:p>
        </w:tc>
        <w:tc>
          <w:tcPr>
            <w:tcW w:type="dxa" w:w="3061"/>
            <w:vAlign w:val="center"/>
          </w:tcPr>
          <w:p>
            <w:r>
              <w:rPr>
                <w:rFonts w:ascii="Calibri" w:hAnsi="Calibri" w:eastAsia="宋体"/>
                <w:sz w:val="20"/>
              </w:rPr>
              <w:t>主动下调挂网价10%</w:t>
            </w:r>
          </w:p>
        </w:tc>
        <w:tc>
          <w:tcPr>
            <w:tcW w:type="dxa" w:w="3061"/>
            <w:vAlign w:val="center"/>
          </w:tcPr>
          <w:p>
            <w:r>
              <w:rPr>
                <w:rFonts w:ascii="Calibri" w:hAnsi="Calibri" w:eastAsia="宋体"/>
                <w:sz w:val="20"/>
              </w:rPr>
              <w:t>下调不到位视为未按要求执行</w:t>
            </w:r>
          </w:p>
        </w:tc>
      </w:tr>
      <w:tr>
        <w:tc>
          <w:tcPr>
            <w:tcW w:type="dxa" w:w="3061"/>
            <w:vAlign w:val="center"/>
          </w:tcPr>
          <w:p>
            <w:r>
              <w:rPr>
                <w:rFonts w:ascii="Calibri" w:hAnsi="Calibri" w:eastAsia="宋体"/>
                <w:sz w:val="20"/>
              </w:rPr>
              <w:t>截止时间</w:t>
            </w:r>
          </w:p>
        </w:tc>
        <w:tc>
          <w:tcPr>
            <w:tcW w:type="dxa" w:w="3061"/>
            <w:vAlign w:val="center"/>
          </w:tcPr>
          <w:p>
            <w:r>
              <w:rPr>
                <w:rFonts w:ascii="Calibri" w:hAnsi="Calibri" w:eastAsia="宋体"/>
                <w:sz w:val="20"/>
              </w:rPr>
              <w:t>2026年3月27日前</w:t>
            </w:r>
          </w:p>
        </w:tc>
        <w:tc>
          <w:tcPr>
            <w:tcW w:type="dxa" w:w="3061"/>
            <w:vAlign w:val="center"/>
          </w:tcPr>
          <w:p>
            <w:r>
              <w:rPr>
                <w:rFonts w:ascii="Calibri" w:hAnsi="Calibri" w:eastAsia="宋体"/>
                <w:sz w:val="20"/>
              </w:rPr>
              <w:t>逾期不再受理</w:t>
            </w:r>
          </w:p>
        </w:tc>
      </w:tr>
      <w:tr>
        <w:tc>
          <w:tcPr>
            <w:tcW w:type="dxa" w:w="3061"/>
            <w:vAlign w:val="center"/>
          </w:tcPr>
          <w:p>
            <w:r>
              <w:rPr>
                <w:rFonts w:ascii="Calibri" w:hAnsi="Calibri" w:eastAsia="宋体"/>
                <w:sz w:val="20"/>
              </w:rPr>
              <w:t>未执行后果</w:t>
            </w:r>
          </w:p>
        </w:tc>
        <w:tc>
          <w:tcPr>
            <w:tcW w:type="dxa" w:w="3061"/>
            <w:vAlign w:val="center"/>
          </w:tcPr>
          <w:p>
            <w:r>
              <w:rPr>
                <w:rFonts w:ascii="Calibri" w:hAnsi="Calibri" w:eastAsia="宋体"/>
                <w:sz w:val="20"/>
              </w:rPr>
              <w:t>取消该产品挂网资格</w:t>
            </w:r>
          </w:p>
        </w:tc>
        <w:tc>
          <w:tcPr>
            <w:tcW w:type="dxa" w:w="3061"/>
            <w:vAlign w:val="center"/>
          </w:tcPr>
          <w:p>
            <w:r>
              <w:rPr>
                <w:rFonts w:ascii="Calibri" w:hAnsi="Calibri" w:eastAsia="宋体"/>
                <w:sz w:val="20"/>
              </w:rPr>
              <w:t>自取消之日起两年内不再受理其挂网申请</w:t>
            </w:r>
          </w:p>
        </w:tc>
      </w:tr>
    </w:tbl>
    <w:p/>
    <w:p>
      <w:pPr>
        <w:pStyle w:val="Heading1"/>
      </w:pPr>
      <w:r>
        <w:t>异议申诉机制</w:t>
      </w:r>
    </w:p>
    <w:p>
      <w:pPr>
        <w:spacing w:lineRule="auto" w:line="324"/>
        <w:ind w:firstLine="420"/>
      </w:pPr>
      <w:r>
        <w:rPr>
          <w:rFonts w:ascii="Calibri" w:hAnsi="Calibri" w:eastAsia="宋体"/>
          <w:b w:val="0"/>
          <w:sz w:val="22"/>
        </w:rPr>
        <w:t>企业对本次比价结果存在异议的，需提供真实有效、有针对性的证据材料。申诉材料须包含加盖企业公章的申诉人员身份证复印件，以及加盖企业公章的合法有效证据。</w:t>
      </w:r>
    </w:p>
    <w:p>
      <w:pPr>
        <w:spacing w:lineRule="auto" w:line="324"/>
        <w:ind w:firstLine="420"/>
      </w:pPr>
      <w:r>
        <w:rPr>
          <w:rFonts w:ascii="Calibri" w:hAnsi="Calibri" w:eastAsia="宋体"/>
          <w:b w:val="0"/>
          <w:sz w:val="22"/>
        </w:rPr>
        <w:t>所有申诉材料需于2026年3月27日前上传至指定邮箱qixie@yjsds.com。文件明确，逾期提交的申诉将不再受理。</w:t>
      </w:r>
    </w:p>
    <w:p>
      <w:pPr>
        <w:pStyle w:val="Heading1"/>
      </w:pPr>
      <w:r>
        <w:t>后续管理与动态调整要求</w:t>
      </w:r>
    </w:p>
    <w:p>
      <w:pPr>
        <w:spacing w:lineRule="auto" w:line="324"/>
        <w:ind w:firstLine="420"/>
      </w:pPr>
      <w:r>
        <w:rPr>
          <w:rFonts w:ascii="Calibri" w:hAnsi="Calibri" w:eastAsia="宋体"/>
          <w:b w:val="0"/>
          <w:sz w:val="22"/>
        </w:rPr>
        <w:t>重庆药品交易所将把本次价格核实确认的处置结果报送至重庆市医疗保障局。</w:t>
      </w:r>
    </w:p>
    <w:p>
      <w:pPr>
        <w:spacing w:lineRule="auto" w:line="324"/>
        <w:ind w:firstLine="420"/>
      </w:pPr>
      <w:r>
        <w:rPr>
          <w:rFonts w:ascii="Calibri" w:hAnsi="Calibri" w:eastAsia="宋体"/>
          <w:b w:val="0"/>
          <w:sz w:val="22"/>
        </w:rPr>
        <w:t>文件同时强调，各相关企业应严格按照《重庆市医用耗材挂网交易采购工作细则》的要求，持续开展挂网价格和挂网类别的动态调整工作，确保挂网价格信息的真实性与合规性。</w:t>
      </w:r>
    </w:p>
    <w:p>
      <w:pPr>
        <w:pStyle w:val="Heading1"/>
      </w:pPr>
      <w:r>
        <w:t>企业关注点</w:t>
      </w:r>
    </w:p>
    <w:p>
      <w:pPr>
        <w:spacing w:lineRule="auto" w:line="324"/>
        <w:ind w:firstLine="420"/>
      </w:pPr>
      <w:r>
        <w:rPr>
          <w:rFonts w:ascii="Calibri" w:hAnsi="Calibri" w:eastAsia="宋体"/>
          <w:b w:val="0"/>
          <w:sz w:val="22"/>
        </w:rPr>
        <w:t>企业需于2026年3月27日前登录招采子系统核对推送信息，确认是否涉及本次比价范围。</w:t>
      </w:r>
    </w:p>
    <w:p>
      <w:pPr>
        <w:spacing w:lineRule="auto" w:line="324"/>
        <w:ind w:firstLine="420"/>
      </w:pPr>
      <w:r>
        <w:rPr>
          <w:rFonts w:ascii="Calibri" w:hAnsi="Calibri" w:eastAsia="宋体"/>
          <w:b w:val="0"/>
          <w:sz w:val="22"/>
        </w:rPr>
        <w:t>无异议企业须以现行全国最低挂网价为基准下调10%，操作路径为“招采子系统—器械管理—挂网价格管理列表”，逾期或下调不到位将取消挂网资格且两年内不受理。</w:t>
      </w:r>
    </w:p>
    <w:p>
      <w:pPr>
        <w:spacing w:lineRule="auto" w:line="324"/>
        <w:ind w:firstLine="420"/>
      </w:pPr>
      <w:r>
        <w:rPr>
          <w:rFonts w:ascii="Calibri" w:hAnsi="Calibri" w:eastAsia="宋体"/>
          <w:b w:val="0"/>
          <w:sz w:val="22"/>
        </w:rPr>
        <w:t>有异议企业需准备加盖公章的身份证复印件及合法有效证据，并于截止日前发送至指定邮箱qixie@yjsds.com。</w:t>
      </w:r>
    </w:p>
    <w:p>
      <w:pPr>
        <w:spacing w:lineRule="auto" w:line="324"/>
        <w:ind w:firstLine="420"/>
      </w:pPr>
      <w:r>
        <w:rPr>
          <w:rFonts w:ascii="Calibri" w:hAnsi="Calibri" w:eastAsia="宋体"/>
          <w:b w:val="0"/>
          <w:sz w:val="22"/>
        </w:rPr>
        <w:t>处置结果将报送重庆市医保局，企业需重视挂网价格动态调整义务，避免因价格信息滞后引发合规风险。</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2026-03-13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关于开展部分医用耗材挂网价格信息核实确认的通知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