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重庆开展部分医用耗材挂网价格核实确认，要求以全国较低价格为基准下调10%</w:t>
      </w:r>
    </w:p>
    <w:p>
      <w:pPr>
        <w:spacing w:lineRule="auto" w:line="324"/>
        <w:ind w:firstLine="420"/>
      </w:pPr>
      <w:r>
        <w:rPr>
          <w:rFonts w:ascii="Calibri" w:hAnsi="Calibri" w:eastAsia="宋体"/>
          <w:b w:val="0"/>
          <w:sz w:val="22"/>
        </w:rPr>
        <w:t>2026年3月13日，重庆药品交易所发布《关于开展部分医用耗材挂网价格信息核实确认的通知》。本次通知系落实《重庆市医用耗材挂网交易采购工作细则》及《进一步加强全市医药价格监测工作实施方案》中关于价格监测管理要求的具体举措，旨在通过常态化比价机制，规范医用耗材挂网价格秩序。</w:t>
      </w:r>
    </w:p>
    <w:p>
      <w:pPr>
        <w:spacing w:lineRule="auto" w:line="324"/>
        <w:ind w:firstLine="420"/>
      </w:pPr>
      <w:r>
        <w:rPr>
          <w:rFonts w:ascii="Calibri" w:hAnsi="Calibri" w:eastAsia="宋体"/>
          <w:b w:val="0"/>
          <w:sz w:val="22"/>
        </w:rPr>
        <w:t>文件明确以2026年1月14日招采子系统有效挂网数据为基准，针对部分产品挂网价与外省最低挂网价不一致的情况开展核实确认。该文件在区域价格治理体系中定位为挂网价格动态调整与异常价格纠偏的重要环节，要求相关企业在规定期限内完成价格下调或异议申诉，以维持挂网资格。</w:t>
      </w:r>
    </w:p>
    <w:p>
      <w:pPr>
        <w:pStyle w:val="Heading1"/>
      </w:pPr>
      <w:r>
        <w:t>政策背景与监管依据</w:t>
      </w:r>
    </w:p>
    <w:p>
      <w:pPr>
        <w:spacing w:lineRule="auto" w:line="324"/>
        <w:ind w:firstLine="420"/>
      </w:pPr>
      <w:r>
        <w:rPr>
          <w:rFonts w:ascii="Calibri" w:hAnsi="Calibri" w:eastAsia="宋体"/>
          <w:b w:val="0"/>
          <w:sz w:val="22"/>
        </w:rPr>
        <w:t>本次价格核实确认工作严格依据《重庆市医用耗材挂网交易采购工作细则》及《进一步加强全市医药价格监测工作实施方案》开展。文件强调，医用耗材挂网价格需符合全市医药价格监测管理要求，交易所通过定期或不定期的比价核查，确保挂网价格与全国市场水平保持合理联动。</w:t>
      </w:r>
    </w:p>
    <w:p>
      <w:pPr>
        <w:spacing w:lineRule="auto" w:line="324"/>
        <w:ind w:firstLine="420"/>
      </w:pPr>
      <w:r>
        <w:rPr>
          <w:rFonts w:ascii="Calibri" w:hAnsi="Calibri" w:eastAsia="宋体"/>
          <w:b w:val="0"/>
          <w:sz w:val="22"/>
        </w:rPr>
        <w:t>该通知体现了监管部门对挂网价格透明化、规范化的持续要求。对于未如实申报或逾期未更新外省挂网价的行为，文件明确了相应的价格下调与资格管理规则，旨在构建公平、透明的挂网交易环境。</w:t>
      </w:r>
    </w:p>
    <w:p>
      <w:pPr>
        <w:pStyle w:val="Heading1"/>
      </w:pPr>
      <w:r>
        <w:t>比价基准与数据来源</w:t>
      </w:r>
    </w:p>
    <w:p>
      <w:pPr>
        <w:spacing w:lineRule="auto" w:line="324"/>
        <w:ind w:firstLine="420"/>
      </w:pPr>
      <w:r>
        <w:rPr>
          <w:rFonts w:ascii="Calibri" w:hAnsi="Calibri" w:eastAsia="宋体"/>
          <w:b w:val="0"/>
          <w:sz w:val="22"/>
        </w:rPr>
        <w:t>本次比价工作以2026年1月14日重庆药品和医用耗材招采管理子系统（以下简称“招采子系统”）的有效挂网数据为比对基准。该基准日数据反映了企业在该时间节点的实际挂网状态，作为价格核查的初始依据。</w:t>
      </w:r>
    </w:p>
    <w:p>
      <w:pPr>
        <w:spacing w:lineRule="auto" w:line="324"/>
        <w:ind w:firstLine="420"/>
      </w:pPr>
      <w:r>
        <w:rPr>
          <w:rFonts w:ascii="Calibri" w:hAnsi="Calibri" w:eastAsia="宋体"/>
          <w:b w:val="0"/>
          <w:sz w:val="22"/>
        </w:rPr>
        <w:t>关于外省最低挂网价的收集机制，文件指出系“收集到的外省最低挂网价”，但具体收集的省份范围、数据采集渠道及更新频率在文件中未详细披露。企业应以招采子系统实际推送的比对结果为准，如有异议需按程序提供证据。</w:t>
      </w:r>
    </w:p>
    <w:p>
      <w:pPr>
        <w:pStyle w:val="Heading1"/>
      </w:pPr>
      <w:r>
        <w:t>涉及范围与企业名单</w:t>
      </w:r>
    </w:p>
    <w:p>
      <w:pPr>
        <w:spacing w:lineRule="auto" w:line="324"/>
        <w:ind w:firstLine="420"/>
      </w:pPr>
      <w:r>
        <w:rPr>
          <w:rFonts w:ascii="Calibri" w:hAnsi="Calibri" w:eastAsia="宋体"/>
          <w:b w:val="0"/>
          <w:sz w:val="22"/>
        </w:rPr>
        <w:t>经比价核查，部分医用耗材产品的重庆挂网价与收集到的外省最低挂网价存在不一致。涉及本次价格核实确认的企业名单详见《医用耗材挂网价格待确认企业信息表》（附件），具体相关产品及价格信息已通过招采子系统向相关企业进行定向信息推送。</w:t>
      </w:r>
    </w:p>
    <w:p>
      <w:pPr>
        <w:spacing w:lineRule="auto" w:line="324"/>
        <w:ind w:firstLine="420"/>
      </w:pPr>
      <w:r>
        <w:rPr>
          <w:rFonts w:ascii="Calibri" w:hAnsi="Calibri" w:eastAsia="宋体"/>
          <w:b w:val="0"/>
          <w:sz w:val="22"/>
        </w:rPr>
        <w:t>附件名单涵盖数十家医疗器械生产及经营企业，具体涉及的产品分类、规格型号及地区分布等详细维度文件未逐一列明。相关企业需及时登录招采子系统查看核对，确认自身产品是否在核实范围内。</w:t>
      </w:r>
    </w:p>
    <w:p>
      <w:pPr>
        <w:pStyle w:val="Heading1"/>
      </w:pPr>
      <w:r>
        <w:t>无异议情形：价格下调规则与操作路径</w:t>
      </w:r>
    </w:p>
    <w:p>
      <w:pPr>
        <w:spacing w:lineRule="auto" w:line="324"/>
        <w:ind w:firstLine="420"/>
      </w:pPr>
      <w:r>
        <w:rPr>
          <w:rFonts w:ascii="Calibri" w:hAnsi="Calibri" w:eastAsia="宋体"/>
          <w:b w:val="0"/>
          <w:sz w:val="22"/>
        </w:rPr>
        <w:t>企业对本次比价结果无异议的，需严格按照文件要求主动下调挂网价格。下调的计算基准明确为“现行全国最低挂网价”，企业需在此基础上主动下调挂网价10%，方可予以保留挂网资格。</w:t>
      </w:r>
    </w:p>
    <w:p>
      <w:pPr>
        <w:spacing w:lineRule="auto" w:line="324"/>
        <w:ind w:firstLine="420"/>
      </w:pPr>
      <w:r>
        <w:rPr>
          <w:rFonts w:ascii="Calibri" w:hAnsi="Calibri" w:eastAsia="宋体"/>
          <w:b w:val="0"/>
          <w:sz w:val="22"/>
        </w:rPr>
        <w:t>操作路径方面，企业应于2026年3月27日前，登录“招采子系统—器械管理—挂网价格管理列表”完成价格下调操作。文件明确设定了严格的处罚触发条件：未在规定时间内通过招采子系统下调挂网价（含下调不到位）的企业，将直接取消该产品挂网资格，且自取消之日起两年内不再受理其挂网申请。</w:t>
      </w:r>
    </w:p>
    <w:p>
      <w:pPr>
        <w:pStyle w:val="Heading1"/>
      </w:pPr>
      <w:r>
        <w:t>有异议情形：申诉流程与材料要求</w:t>
      </w:r>
    </w:p>
    <w:p>
      <w:pPr>
        <w:spacing w:lineRule="auto" w:line="324"/>
        <w:ind w:firstLine="420"/>
      </w:pPr>
      <w:r>
        <w:rPr>
          <w:rFonts w:ascii="Calibri" w:hAnsi="Calibri" w:eastAsia="宋体"/>
          <w:b w:val="0"/>
          <w:sz w:val="22"/>
        </w:rPr>
        <w:t>企业对本次比价结果存在异议的，需在法定期限内提交申诉。申诉材料必须真实有效、具有针对性，且须包含加盖企业公章的申诉人员身份证复印件，以及加盖企业公章的合法有效证据。</w:t>
      </w:r>
    </w:p>
    <w:p>
      <w:pPr>
        <w:spacing w:lineRule="auto" w:line="324"/>
        <w:ind w:firstLine="420"/>
      </w:pPr>
      <w:r>
        <w:rPr>
          <w:rFonts w:ascii="Calibri" w:hAnsi="Calibri" w:eastAsia="宋体"/>
          <w:b w:val="0"/>
          <w:sz w:val="22"/>
        </w:rPr>
        <w:t>关于证据的具体类型与形式，文件未作进一步细化规定，企业应准备能够证明其挂网价格合理性或外省价格数据存在偏差的官方文件、合同或公示截图等。所有材料须于2026年3月27日前上传至指定邮箱qixie@yjsds.com。文件强调逾期不再受理，该邮箱提交记录将作为申诉时效与材料接收的法定依据。</w:t>
      </w:r>
    </w:p>
    <w:p>
      <w:pPr>
        <w:pStyle w:val="Heading1"/>
      </w:pPr>
      <w:r>
        <w:t>动态管理要求与后续监测</w:t>
      </w:r>
    </w:p>
    <w:p>
      <w:pPr>
        <w:spacing w:lineRule="auto" w:line="324"/>
        <w:ind w:firstLine="420"/>
      </w:pPr>
      <w:r>
        <w:rPr>
          <w:rFonts w:ascii="Calibri" w:hAnsi="Calibri" w:eastAsia="宋体"/>
          <w:b w:val="0"/>
          <w:sz w:val="22"/>
        </w:rPr>
        <w:t>重庆药品交易所明确，本次价格核实确认的处置结果将统一报送至重庆市医疗保障局，作为后续价格监管与信用管理的重要参考。</w:t>
      </w:r>
    </w:p>
    <w:p>
      <w:pPr>
        <w:spacing w:lineRule="auto" w:line="324"/>
        <w:ind w:firstLine="420"/>
      </w:pPr>
      <w:r>
        <w:rPr>
          <w:rFonts w:ascii="Calibri" w:hAnsi="Calibri" w:eastAsia="宋体"/>
          <w:b w:val="0"/>
          <w:sz w:val="22"/>
        </w:rPr>
        <w:t>文件要求各相关企业严格按照《重庆市医用耗材挂网交易采购工作细则》要求，持续开展挂网价格和挂网类别的动态调整工作。关于后续价格监测的具体机制、常态化核查频率及联动规则，文件未作详细披露，待后续公告或实施细则明确。企业应建立内部价格监测台账，确保挂网价格及时响应市场变化。</w:t>
      </w:r>
    </w:p>
    <w:p>
      <w:pPr>
        <w:pStyle w:val="Heading1"/>
      </w:pPr>
      <w:r>
        <w:t>关键执行要求与时间节点</w:t>
      </w:r>
    </w:p>
    <w:p>
      <w:r>
        <w:rPr>
          <w:rFonts w:ascii="Calibri" w:hAnsi="Calibri" w:eastAsia="宋体"/>
          <w:b/>
          <w:sz w:val="20"/>
        </w:rPr>
        <w:t>价格核实确认执行要求与关键节点表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事项</w:t>
            </w:r>
          </w:p>
        </w:tc>
        <w:tc>
          <w:tcPr>
            <w:tcW w:type="dxa" w:w="2296"/>
            <w:vAlign w:val="center"/>
            <w:shd w:fill="D9EAF7"/>
          </w:tcPr>
          <w:p>
            <w:pPr>
              <w:jc w:val="center"/>
            </w:pPr>
            <w:r>
              <w:rPr>
                <w:rFonts w:ascii="Calibri" w:hAnsi="Calibri" w:eastAsia="宋体"/>
                <w:b/>
                <w:sz w:val="20"/>
              </w:rPr>
              <w:t>规则要求/操作路径</w:t>
            </w:r>
          </w:p>
        </w:tc>
        <w:tc>
          <w:tcPr>
            <w:tcW w:type="dxa" w:w="2296"/>
            <w:vAlign w:val="center"/>
            <w:shd w:fill="D9EAF7"/>
          </w:tcPr>
          <w:p>
            <w:pPr>
              <w:jc w:val="center"/>
            </w:pPr>
            <w:r>
              <w:rPr>
                <w:rFonts w:ascii="Calibri" w:hAnsi="Calibri" w:eastAsia="宋体"/>
                <w:b/>
                <w:sz w:val="20"/>
              </w:rPr>
              <w:t>截止时间/后果</w:t>
            </w:r>
          </w:p>
        </w:tc>
        <w:tc>
          <w:tcPr>
            <w:tcW w:type="dxa" w:w="2296"/>
            <w:vAlign w:val="center"/>
            <w:shd w:fill="D9EAF7"/>
          </w:tcPr>
          <w:p>
            <w:pPr>
              <w:jc w:val="center"/>
            </w:pPr>
            <w:r>
              <w:rPr>
                <w:rFonts w:ascii="Calibri" w:hAnsi="Calibri" w:eastAsia="宋体"/>
                <w:b/>
                <w:sz w:val="20"/>
              </w:rPr>
              <w:t>涉及范围/备注</w:t>
            </w:r>
          </w:p>
        </w:tc>
      </w:tr>
      <w:tr>
        <w:tc>
          <w:tcPr>
            <w:tcW w:type="dxa" w:w="2296"/>
            <w:vAlign w:val="center"/>
          </w:tcPr>
          <w:p>
            <w:r>
              <w:rPr>
                <w:rFonts w:ascii="Calibri" w:hAnsi="Calibri" w:eastAsia="宋体"/>
                <w:sz w:val="20"/>
              </w:rPr>
              <w:t>价格下调操作（无异议）</w:t>
            </w:r>
          </w:p>
        </w:tc>
        <w:tc>
          <w:tcPr>
            <w:tcW w:type="dxa" w:w="2296"/>
            <w:vAlign w:val="center"/>
          </w:tcPr>
          <w:p>
            <w:r>
              <w:rPr>
                <w:rFonts w:ascii="Calibri" w:hAnsi="Calibri" w:eastAsia="宋体"/>
                <w:sz w:val="20"/>
              </w:rPr>
              <w:t>以现行全国最低挂网价为基准主动下调10%；路径：招采子系统—器械管理—挂网价格管理列表</w:t>
            </w:r>
          </w:p>
        </w:tc>
        <w:tc>
          <w:tcPr>
            <w:tcW w:type="dxa" w:w="2296"/>
            <w:vAlign w:val="center"/>
          </w:tcPr>
          <w:p>
            <w:r>
              <w:rPr>
                <w:rFonts w:ascii="Calibri" w:hAnsi="Calibri" w:eastAsia="宋体"/>
                <w:sz w:val="20"/>
              </w:rPr>
              <w:t>2026年3月27日前；未按时或下调不到位将取消挂网资格，两年内不再受理</w:t>
            </w:r>
          </w:p>
        </w:tc>
        <w:tc>
          <w:tcPr>
            <w:tcW w:type="dxa" w:w="2296"/>
            <w:vAlign w:val="center"/>
          </w:tcPr>
          <w:p>
            <w:r>
              <w:rPr>
                <w:rFonts w:ascii="Calibri" w:hAnsi="Calibri" w:eastAsia="宋体"/>
                <w:sz w:val="20"/>
              </w:rPr>
              <w:t>附件所列相关企业</w:t>
            </w:r>
          </w:p>
        </w:tc>
      </w:tr>
      <w:tr>
        <w:tc>
          <w:tcPr>
            <w:tcW w:type="dxa" w:w="2296"/>
            <w:vAlign w:val="center"/>
          </w:tcPr>
          <w:p>
            <w:r>
              <w:rPr>
                <w:rFonts w:ascii="Calibri" w:hAnsi="Calibri" w:eastAsia="宋体"/>
                <w:sz w:val="20"/>
              </w:rPr>
              <w:t>异议申诉提交（有异议）</w:t>
            </w:r>
          </w:p>
        </w:tc>
        <w:tc>
          <w:tcPr>
            <w:tcW w:type="dxa" w:w="2296"/>
            <w:vAlign w:val="center"/>
          </w:tcPr>
          <w:p>
            <w:r>
              <w:rPr>
                <w:rFonts w:ascii="Calibri" w:hAnsi="Calibri" w:eastAsia="宋体"/>
                <w:sz w:val="20"/>
              </w:rPr>
              <w:t>提供加盖公章的申诉人身份证复印件及合法有效证据；发送至qixie@yjsds.com</w:t>
            </w:r>
          </w:p>
        </w:tc>
        <w:tc>
          <w:tcPr>
            <w:tcW w:type="dxa" w:w="2296"/>
            <w:vAlign w:val="center"/>
          </w:tcPr>
          <w:p>
            <w:r>
              <w:rPr>
                <w:rFonts w:ascii="Calibri" w:hAnsi="Calibri" w:eastAsia="宋体"/>
                <w:sz w:val="20"/>
              </w:rPr>
              <w:t>2026年3月27日前；逾期不再受理，视为放弃申诉权利</w:t>
            </w:r>
          </w:p>
        </w:tc>
        <w:tc>
          <w:tcPr>
            <w:tcW w:type="dxa" w:w="2296"/>
            <w:vAlign w:val="center"/>
          </w:tcPr>
          <w:p>
            <w:r>
              <w:rPr>
                <w:rFonts w:ascii="Calibri" w:hAnsi="Calibri" w:eastAsia="宋体"/>
                <w:sz w:val="20"/>
              </w:rPr>
              <w:t>对系统推送比价结果存疑的企业</w:t>
            </w:r>
          </w:p>
        </w:tc>
      </w:tr>
      <w:tr>
        <w:tc>
          <w:tcPr>
            <w:tcW w:type="dxa" w:w="2296"/>
            <w:vAlign w:val="center"/>
          </w:tcPr>
          <w:p>
            <w:r>
              <w:rPr>
                <w:rFonts w:ascii="Calibri" w:hAnsi="Calibri" w:eastAsia="宋体"/>
                <w:sz w:val="20"/>
              </w:rPr>
              <w:t>比价数据基准</w:t>
            </w:r>
          </w:p>
        </w:tc>
        <w:tc>
          <w:tcPr>
            <w:tcW w:type="dxa" w:w="2296"/>
            <w:vAlign w:val="center"/>
          </w:tcPr>
          <w:p>
            <w:r>
              <w:rPr>
                <w:rFonts w:ascii="Calibri" w:hAnsi="Calibri" w:eastAsia="宋体"/>
                <w:sz w:val="20"/>
              </w:rPr>
              <w:t>2026年1月14日招采子系统有效挂网数据</w:t>
            </w:r>
          </w:p>
        </w:tc>
        <w:tc>
          <w:tcPr>
            <w:tcW w:type="dxa" w:w="2296"/>
            <w:vAlign w:val="center"/>
          </w:tcPr>
          <w:p>
            <w:r>
              <w:rPr>
                <w:rFonts w:ascii="Calibri" w:hAnsi="Calibri" w:eastAsia="宋体"/>
                <w:sz w:val="20"/>
              </w:rPr>
              <w:t>作为本次价格核查的初始比对依据</w:t>
            </w:r>
          </w:p>
        </w:tc>
        <w:tc>
          <w:tcPr>
            <w:tcW w:type="dxa" w:w="2296"/>
            <w:vAlign w:val="center"/>
          </w:tcPr>
          <w:p>
            <w:r>
              <w:rPr>
                <w:rFonts w:ascii="Calibri" w:hAnsi="Calibri" w:eastAsia="宋体"/>
                <w:sz w:val="20"/>
              </w:rPr>
              <w:t>具体外省最低价收集范围文件未披露</w:t>
            </w:r>
          </w:p>
        </w:tc>
      </w:tr>
      <w:tr>
        <w:tc>
          <w:tcPr>
            <w:tcW w:type="dxa" w:w="2296"/>
            <w:vAlign w:val="center"/>
          </w:tcPr>
          <w:p>
            <w:r>
              <w:rPr>
                <w:rFonts w:ascii="Calibri" w:hAnsi="Calibri" w:eastAsia="宋体"/>
                <w:sz w:val="20"/>
              </w:rPr>
              <w:t>处置结果报送</w:t>
            </w:r>
          </w:p>
        </w:tc>
        <w:tc>
          <w:tcPr>
            <w:tcW w:type="dxa" w:w="2296"/>
            <w:vAlign w:val="center"/>
          </w:tcPr>
          <w:p>
            <w:r>
              <w:rPr>
                <w:rFonts w:ascii="Calibri" w:hAnsi="Calibri" w:eastAsia="宋体"/>
                <w:sz w:val="20"/>
              </w:rPr>
              <w:t>报送至重庆市医疗保障局</w:t>
            </w:r>
          </w:p>
        </w:tc>
        <w:tc>
          <w:tcPr>
            <w:tcW w:type="dxa" w:w="2296"/>
            <w:vAlign w:val="center"/>
          </w:tcPr>
          <w:p>
            <w:r>
              <w:rPr>
                <w:rFonts w:ascii="Calibri" w:hAnsi="Calibri" w:eastAsia="宋体"/>
                <w:sz w:val="20"/>
              </w:rPr>
              <w:t>纳入常态化价格监测与动态管理</w:t>
            </w:r>
          </w:p>
        </w:tc>
        <w:tc>
          <w:tcPr>
            <w:tcW w:type="dxa" w:w="2296"/>
            <w:vAlign w:val="center"/>
          </w:tcPr>
          <w:p>
            <w:r>
              <w:rPr>
                <w:rFonts w:ascii="Calibri" w:hAnsi="Calibri" w:eastAsia="宋体"/>
                <w:sz w:val="20"/>
              </w:rPr>
              <w:t>企业需持续开展价格与类别动态调整</w:t>
            </w:r>
          </w:p>
        </w:tc>
      </w:tr>
    </w:tbl>
    <w:p/>
    <w:p>
      <w:pPr>
        <w:pStyle w:val="Heading1"/>
      </w:pPr>
      <w:r>
        <w:t>企业关注点</w:t>
      </w:r>
    </w:p>
    <w:p>
      <w:pPr>
        <w:spacing w:lineRule="auto" w:line="324"/>
        <w:ind w:firstLine="420"/>
      </w:pPr>
      <w:r>
        <w:rPr>
          <w:rFonts w:ascii="Calibri" w:hAnsi="Calibri" w:eastAsia="宋体"/>
          <w:b w:val="0"/>
          <w:sz w:val="22"/>
        </w:rPr>
        <w:t>企业需于2026年3月27日前登录招采子系统核对推送数据，确认产品是否在核实范围内，避免遗漏。</w:t>
      </w:r>
    </w:p>
    <w:p>
      <w:pPr>
        <w:spacing w:lineRule="auto" w:line="324"/>
        <w:ind w:firstLine="420"/>
      </w:pPr>
      <w:r>
        <w:rPr>
          <w:rFonts w:ascii="Calibri" w:hAnsi="Calibri" w:eastAsia="宋体"/>
          <w:b w:val="0"/>
          <w:sz w:val="22"/>
        </w:rPr>
        <w:t>价格下调操作须严格以“现行全国最低挂网价”为基准计算10%降幅，并在“挂网价格管理列表”中完成提交，下调不到位将直接触发两年禁入处罚。</w:t>
      </w:r>
    </w:p>
    <w:p>
      <w:pPr>
        <w:spacing w:lineRule="auto" w:line="324"/>
        <w:ind w:firstLine="420"/>
      </w:pPr>
      <w:r>
        <w:rPr>
          <w:rFonts w:ascii="Calibri" w:hAnsi="Calibri" w:eastAsia="宋体"/>
          <w:b w:val="0"/>
          <w:sz w:val="22"/>
        </w:rPr>
        <w:t>异议申诉需提前准备加盖公章的身份证复印件及合法有效证据，确保材料真实、有针对性，并于截止日前发送至指定邮箱。</w:t>
      </w:r>
    </w:p>
    <w:p>
      <w:pPr>
        <w:spacing w:lineRule="auto" w:line="324"/>
        <w:ind w:firstLine="420"/>
      </w:pPr>
      <w:r>
        <w:rPr>
          <w:rFonts w:ascii="Calibri" w:hAnsi="Calibri" w:eastAsia="宋体"/>
          <w:b w:val="0"/>
          <w:sz w:val="22"/>
        </w:rPr>
        <w:t>外省最低价收集机制及具体省份范围文件未披露，企业应以系统推送数据为准，如有历史价格变动或特殊定价依据，应作为申诉证据一并提交。</w:t>
      </w:r>
    </w:p>
    <w:p>
      <w:pPr>
        <w:spacing w:lineRule="auto" w:line="324"/>
        <w:ind w:firstLine="420"/>
      </w:pPr>
      <w:r>
        <w:rPr>
          <w:rFonts w:ascii="Calibri" w:hAnsi="Calibri" w:eastAsia="宋体"/>
          <w:b w:val="0"/>
          <w:sz w:val="22"/>
        </w:rPr>
        <w:t>本次处置结果将报送重庆市医保局，企业应建立常态化价格监测机制，严格按照《细则》要求持续开展挂网价格与类别的动态调整。</w:t>
      </w:r>
    </w:p>
    <w:p>
      <w:pPr>
        <w:spacing w:lineRule="auto" w:line="324"/>
        <w:ind w:firstLine="420"/>
      </w:pPr>
      <w:r>
        <w:rPr>
          <w:rFonts w:ascii="Calibri" w:hAnsi="Calibri" w:eastAsia="宋体"/>
          <w:b w:val="0"/>
          <w:sz w:val="22"/>
        </w:rPr>
        <w:t>如遇系统操作或规则疑问，可及时拨打咨询电话400-039-2233-2，避免因沟通不畅导致逾期或操作失误。</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2026-03-13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《关于开展部分医用耗材挂网价格信息核实确认的通知》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