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Sun" w:hAnsi="SimSun" w:eastAsia="宋体"/>
          <w:b/>
          <w:sz w:val="36"/>
        </w:rPr>
        <w:t>Medical procurement notice report</w:t>
      </w:r>
    </w:p>
    <w:p>
      <w:pPr>
        <w:spacing w:lineRule="auto" w:line="324"/>
        <w:ind w:firstLine="420"/>
      </w:pPr>
      <w:r>
        <w:rPr>
          <w:rFonts w:ascii="Calibri" w:hAnsi="Calibri" w:eastAsia="宋体"/>
          <w:b w:val="0"/>
          <w:sz w:val="22"/>
        </w:rPr>
        <w:t>The notice discloses procurement scope, reporting requirements, and execution rules for suppliers.</w:t>
      </w:r>
    </w:p>
    <w:p>
      <w:pPr>
        <w:pStyle w:val="Heading1"/>
      </w:pPr>
      <w:r>
        <w:t>Procurement Rules</w:t>
      </w:r>
    </w:p>
    <w:p>
      <w:pPr>
        <w:spacing w:lineRule="auto" w:line="324"/>
        <w:ind w:firstLine="420"/>
      </w:pPr>
      <w:r>
        <w:rPr>
          <w:rFonts w:ascii="Calibri" w:hAnsi="Calibri" w:eastAsia="宋体"/>
          <w:b w:val="0"/>
          <w:sz w:val="22"/>
        </w:rPr>
        <w:t>Suppliers should follow the disclosed reporting path, deadline, and price requirements.</w:t>
      </w:r>
    </w:p>
    <w:p>
      <w:r>
        <w:rPr>
          <w:rFonts w:ascii="Calibri" w:hAnsi="Calibri" w:eastAsia="宋体"/>
          <w:b/>
          <w:sz w:val="20"/>
        </w:rPr>
        <w:t>Key Schedule</w:t>
      </w:r>
    </w:p>
    <w:tbl>
      <w:tblPr>
        <w:tblStyle w:val="TableGrid"/>
        <w:tblW w:type="auto" w:w="0"/>
        <w:jc w:val="center"/>
        <w:tblLayout w:type="autofit"/>
        <w:tblLook w:firstColumn="1" w:firstRow="1" w:lastColumn="0" w:lastRow="0" w:noHBand="0" w:noVBand="1" w:val="04A0"/>
      </w:tblPr>
      <w:tblGrid>
        <w:gridCol w:w="4592"/>
        <w:gridCol w:w="4592"/>
      </w:tblGrid>
      <w:tr>
        <w:trPr>
          <w:tblHeader w:val="true"/>
        </w:trPr>
        <w:tc>
          <w:tcPr>
            <w:tcW w:type="dxa" w:w="4592"/>
            <w:vAlign w:val="center"/>
            <w:shd w:fill="D9EAF7"/>
          </w:tcPr>
          <w:p>
            <w:pPr>
              <w:jc w:val="center"/>
            </w:pPr>
            <w:r>
              <w:rPr>
                <w:rFonts w:ascii="Calibri" w:hAnsi="Calibri" w:eastAsia="宋体"/>
                <w:b/>
                <w:sz w:val="20"/>
              </w:rPr>
              <w:t>Item</w:t>
            </w:r>
          </w:p>
        </w:tc>
        <w:tc>
          <w:tcPr>
            <w:tcW w:type="dxa" w:w="4592"/>
            <w:vAlign w:val="center"/>
            <w:shd w:fill="D9EAF7"/>
          </w:tcPr>
          <w:p>
            <w:pPr>
              <w:jc w:val="center"/>
            </w:pPr>
            <w:r>
              <w:rPr>
                <w:rFonts w:ascii="Calibri" w:hAnsi="Calibri" w:eastAsia="宋体"/>
                <w:b/>
                <w:sz w:val="20"/>
              </w:rPr>
              <w:t>Requirement</w:t>
            </w:r>
          </w:p>
        </w:tc>
      </w:tr>
      <w:tr>
        <w:tc>
          <w:tcPr>
            <w:tcW w:type="dxa" w:w="4592"/>
            <w:vAlign w:val="center"/>
          </w:tcPr>
          <w:p>
            <w:r>
              <w:rPr>
                <w:rFonts w:ascii="Calibri" w:hAnsi="Calibri" w:eastAsia="宋体"/>
                <w:sz w:val="20"/>
              </w:rPr>
              <w:t>Registration</w:t>
            </w:r>
          </w:p>
        </w:tc>
        <w:tc>
          <w:tcPr>
            <w:tcW w:type="dxa" w:w="4592"/>
            <w:vAlign w:val="center"/>
          </w:tcPr>
          <w:p>
            <w:r>
              <w:rPr>
                <w:rFonts w:ascii="Calibri" w:hAnsi="Calibri" w:eastAsia="宋体"/>
                <w:sz w:val="20"/>
              </w:rPr>
              <w:t>Submit before the disclosed deadline</w:t>
            </w:r>
          </w:p>
        </w:tc>
      </w:tr>
    </w:tbl>
    <w:p/>
    <w:p>
      <w:pPr>
        <w:pStyle w:val="Heading1"/>
      </w:pPr>
      <w:r>
        <w:t>企业关注点</w:t>
      </w:r>
    </w:p>
    <w:p>
      <w:pPr>
        <w:spacing w:lineRule="auto" w:line="324"/>
        <w:ind w:firstLine="420"/>
      </w:pPr>
      <w:r>
        <w:rPr>
          <w:rFonts w:ascii="Calibri" w:hAnsi="Calibri" w:eastAsia="宋体"/>
          <w:b w:val="0"/>
          <w:sz w:val="22"/>
        </w:rPr>
        <w:t>Check registration documents and price evidence before submission.</w:t>
      </w:r>
    </w:p>
    <w:p>
      <w:pPr>
        <w:spacing w:before="240" w:after="160"/>
        <w:jc w:val="center"/>
      </w:pPr>
      <w:r>
        <w:rPr>
          <w:rFonts w:ascii="KaiTi" w:hAnsi="KaiTi" w:eastAsia="楷体"/>
          <w:b/>
          <w:sz w:val="44"/>
        </w:rPr>
        <w:t>声  明</w:t>
      </w:r>
    </w:p>
    <w:p>
      <w:pPr>
        <w:spacing w:lineRule="auto" w:line="324"/>
        <w:ind w:firstLine="420"/>
      </w:pPr>
      <w:r>
        <w:rPr>
          <w:rFonts w:ascii="SimSun" w:hAnsi="SimSun" w:eastAsia="宋体"/>
          <w:sz w:val="32"/>
        </w:rPr>
        <w:t>本文基于互联网公开资料进行整理，目的在于传递分享信息，仅供读者参考之用。本网站不保证信息的准确性、有效性、及时性和完整性。本公司及其雇员一概毋须以任何方式就任何信息传递或传送的失误、不准确或错误，对用户或任何其他人士负任何直接或间接责任。在法律允许的范围内，本公司在此声明，不承担用户或任何人士就使用或未能使用本网站所提供的信息或任何链接所引致的任何直接、间接、附带、从属、特殊、惩罚性或惩戒性的损害赔偿。</w:t>
      </w:r>
    </w:p>
    <w:sectPr w:rsidR="00FC693F" w:rsidRPr="0006063C" w:rsidSect="00034616">
      <w:headerReference w:type="default" r:id="rId9"/>
      <w:footerReference w:type="default" r:id="rId10"/>
      <w:pgSz w:w="11906" w:h="16838"/>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宋体"/>
        <w:color w:val="787878"/>
        <w:sz w:val="18"/>
      </w:rPr>
      <w:t xml:space="preserve">生成日期: 2026-06-10  |  第 </w:t>
    </w:r>
    <w:r>
      <w:rPr>
        <w:rFonts w:ascii="Calibri" w:hAnsi="Calibri" w:eastAsia="宋体"/>
        <w:color w:val="787878"/>
        <w:sz w:val="18"/>
      </w:rPr>
      <w:fldChar w:fldCharType="begin"/>
      <w:instrText xml:space="preserve">PAGE</w:instrText>
      <w:fldChar w:fldCharType="end"/>
    </w:r>
    <w:r>
      <w:rPr>
        <w:rFonts w:ascii="Calibri" w:hAnsi="Calibri" w:eastAsia="宋体"/>
        <w:color w:val="787878"/>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eastAsia="宋体"/>
        <w:color w:val="787878"/>
        <w:sz w:val="18"/>
      </w:rPr>
      <w:t>Procurement Notice</w:t>
    </w:r>
    <w:r>
      <w:pict>
        <v:shape id="PowerPlusWaterMarkObject" o:spid="_x0000_s1025" type="#_x0000_t136" style="position:absolute;margin-left:0;margin-top:0;width:420pt;height:120pt;rotation:315;z-index:-251654144;mso-position-horizontal:center;mso-position-vertical:center" fillcolor="#d9d9d9" stroked="f">
          <v:fill opacity=".12"/>
          <v:textpath style="font-family:宋体;font-size:1pt" string="易联器械"/>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24" w:after="120"/>
    </w:pPr>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宋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宋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