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SimHei"/>
          <w:b/>
          <w:color w:val="8A2C2C"/>
          <w:sz w:val="20"/>
        </w:rPr>
        <w:t>LJ-GP-07　内部工作稿</w:t>
      </w:r>
    </w:p>
    <w:p>
      <w:pPr>
        <w:spacing w:after="80"/>
      </w:pPr>
      <w:r>
        <w:rPr>
          <w:rFonts w:ascii="Calibri" w:hAnsi="Calibri" w:eastAsia="SimHei"/>
          <w:b/>
          <w:color w:val="111111"/>
          <w:sz w:val="46"/>
        </w:rPr>
        <w:t>家庭服务活动阶段报告</w:t>
      </w:r>
    </w:p>
    <w:p>
      <w:pPr>
        <w:spacing w:after="280"/>
      </w:pPr>
      <w:r>
        <w:rPr>
          <w:rFonts w:ascii="Calibri" w:hAnsi="Calibri" w:eastAsia="SimSun"/>
          <w:color w:val="555555"/>
          <w:sz w:val="26"/>
        </w:rPr>
        <w:t>2014年第三季度资料｜工作稿 1.6｜2016年12月补订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报送：</w:t>
      </w:r>
      <w:r>
        <w:rPr>
          <w:rFonts w:ascii="Calibri" w:hAnsi="Calibri" w:eastAsia="SimSun"/>
          <w:color w:val="000000"/>
          <w:sz w:val="22"/>
        </w:rPr>
        <w:t>项目管理处、公共秩序研究处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形成单位：</w:t>
      </w:r>
      <w:r>
        <w:rPr>
          <w:rFonts w:ascii="Calibri" w:hAnsi="Calibri" w:eastAsia="SimSun"/>
          <w:color w:val="000000"/>
          <w:sz w:val="22"/>
        </w:rPr>
        <w:t>星河乐园游客服务部 / LJ-GP-07 协作组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资料原稿：2014年9月5日（2016年12月补订）</w:t>
      </w:r>
      <w:r>
        <w:rPr>
          <w:rFonts w:ascii="Calibri" w:hAnsi="Calibri" w:eastAsia="SimSun"/>
          <w:color w:val="000000"/>
          <w:sz w:val="22"/>
        </w:rPr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资料范围：</w:t>
      </w:r>
      <w:r>
        <w:rPr>
          <w:rFonts w:ascii="Calibri" w:hAnsi="Calibri" w:eastAsia="SimSun"/>
          <w:color w:val="000000"/>
          <w:sz w:val="22"/>
        </w:rPr>
        <w:t>第七家庭服务区域活动、照片输出、广播调用与家庭回访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状态：</w:t>
      </w:r>
      <w:r>
        <w:rPr>
          <w:rFonts w:ascii="Calibri" w:hAnsi="Calibri" w:eastAsia="SimSun"/>
          <w:color w:val="000000"/>
          <w:sz w:val="22"/>
        </w:rPr>
        <w:t>2016年补订字段已核；公开用语待统一</w:t>
      </w:r>
    </w:p>
    <w:p>
      <w:pPr>
        <w:spacing w:before="200" w:after="240"/>
        <w:pBdr>
          <w:bottom w:val="single" w:sz="12" w:space="1" w:color="8A2C2C"/>
        </w:pBdr>
      </w:pPr>
    </w:p>
    <w:p>
      <w:r>
        <w:rPr>
          <w:rFonts w:ascii="Calibri" w:hAnsi="Calibri" w:eastAsia="SimSun"/>
          <w:b/>
          <w:color w:val="000000"/>
          <w:sz w:val="22"/>
        </w:rPr>
        <w:t>摘要：</w:t>
      </w:r>
      <w:r>
        <w:rPr>
          <w:rFonts w:ascii="Calibri" w:hAnsi="Calibri" w:eastAsia="SimSun"/>
          <w:color w:val="000000"/>
          <w:sz w:val="22"/>
        </w:rPr>
        <w:t>本季度完成三轮家庭服务活动和两轮补充回访。公开满意度指标保持稳定；工作字段显示，照片、固定语句和家庭讨论同时出现时，参与者对同一事件的描述更快趋于一致。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一、活动安排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00"/>
        <w:gridCol w:w="3300"/>
        <w:gridCol w:w="21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时段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公开活动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工作记录字段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房间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13:30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家庭照片与绘画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照片模板首次呈现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B07-02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14:10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广播体验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固定语句三次调用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B07-07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儿童绘画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提示后自由回忆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B07-05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15:10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纪念品领取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纪念识别物登记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B07-03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16:10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家长问卷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家庭解释一致性记录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B07-04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2014年现场使用蓝色与红色腕带组织普通活动。2016年补订时，银色星形纽扣由项目组按原样本编号补发，不进入普通纪念品仓；未领取物料退回项目组。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二、第三季度汇总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1250"/>
        <w:gridCol w:w="1450"/>
        <w:gridCol w:w="1450"/>
        <w:gridCol w:w="2560"/>
      </w:tblGrid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工作字段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样本数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本季度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上季度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说明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指令接受度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214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89.3%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83.5%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听到固定语句后完成指定动作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家庭解释一致性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168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78.6%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61.9%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三轮回访后描述趋同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记忆覆盖率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146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72.4%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55.1%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接受统一活动时间与顺序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纪念物保留率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132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86.4%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—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六个月后仍保留银色识别物</w:t>
            </w:r>
          </w:p>
        </w:tc>
      </w:tr>
      <w:t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原始矛盾保留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31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14.5%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22.8%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仍坚持节目单或物料时间冲突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工作表中“记忆覆盖率”对应公开材料的“家庭说明一致率”或“回访一致率”。公开版不得出现“覆盖”字样，避免将服务回访误解为对个人经历的替代。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三、星光回响材料</w:t>
      </w:r>
    </w:p>
    <w:p>
      <w:r>
        <w:rPr>
          <w:rFonts w:ascii="Calibri" w:hAnsi="Calibri" w:eastAsia="SimSun"/>
          <w:color w:val="000000"/>
          <w:sz w:val="22"/>
        </w:rPr>
        <w:t>2014年7月19日16:17登记的 A 批次照片使用 GP-FOTO-14A；2016年补订时，B 批次于原登记日16:26项下重新输出，使用 GP-FOTO-16 背景模板。园区主巡游设备当日因大风和维修锁定未运行，现场没有演员排班、纸星采购或正式巡游音乐。照片不应归入普通精彩图片栏目。</w:t>
      </w:r>
    </w:p>
    <w:p>
      <w:r>
        <w:rPr>
          <w:rFonts w:ascii="Calibri" w:hAnsi="Calibri" w:eastAsia="SimSun"/>
          <w:color w:val="000000"/>
          <w:sz w:val="22"/>
        </w:rPr>
        <w:t>参与家庭接受的活动说明保持一致：四点十七分开始、蓝色纸星、银色纪念物、三次固定广播以及统一结束语。上述元素由照片模板、广播体验与回访问卷分阶段提供，并非同一场公开活动的现场记录。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四、回访观察</w:t>
      </w:r>
    </w:p>
    <w:p>
      <w:r>
        <w:rPr>
          <w:rFonts w:ascii="Calibri" w:hAnsi="Calibri" w:eastAsia="SimSun"/>
          <w:color w:val="000000"/>
          <w:sz w:val="22"/>
        </w:rPr>
        <w:t>第一轮回访中，约三分之一家庭主动指出节目单不存在该活动；第三轮回访后，多数家庭接受“临时内部活动未完整登记”的说明。持有银色纽扣的家庭更愿意把照片和纪念物视为现场经历的证明。</w:t>
      </w:r>
    </w:p>
    <w:p>
      <w:r>
        <w:rPr>
          <w:rFonts w:ascii="Calibri" w:hAnsi="Calibri" w:eastAsia="SimSun"/>
          <w:color w:val="000000"/>
          <w:sz w:val="22"/>
        </w:rPr>
        <w:t>对坚持检查原始节目单、设备维修记录和物料入库年份的家庭，不再安排公开服务回访，转为资料观察。对高响应家庭，可延长六至十二个月的观察周期。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五、用语与公开处理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工作稿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公开版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诱导性广播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提示性广播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记忆覆盖率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回访一致率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高服从样本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高响应样本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认知修正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补充说明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长期行为巩固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纪念品回访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公开材料原则上不列入照片合成步骤、固定广播文本、家庭讨论记录和样本分组方法。附件目录应保留序号，但工作稿与原始记录不进入普通在线目录。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六、后续安排</w:t>
      </w:r>
    </w:p>
    <w:p>
      <w:r>
        <w:rPr>
          <w:rFonts w:ascii="Calibri" w:hAnsi="Calibri" w:eastAsia="SimSun"/>
          <w:color w:val="000000"/>
          <w:sz w:val="22"/>
        </w:rPr>
        <w:t>继续使用第七家庭服务区域完成照片、广播、绘画和问卷流程；将银色纪念物生产年份纳入物料核对，避免参与家庭以入库时间否定活动说明。</w:t>
      </w:r>
    </w:p>
    <w:p>
      <w:r>
        <w:rPr>
          <w:rFonts w:ascii="Calibri" w:hAnsi="Calibri" w:eastAsia="SimSun"/>
          <w:color w:val="000000"/>
          <w:sz w:val="22"/>
        </w:rPr>
        <w:t>本次本次2016年阶段评估后，可将统一广播、颜色分区、重复语句与家庭说明口径转用于学校、车站及大型公共活动。转化材料不再使用星河乐园或银河成长计划名称，但数据表字段与样本编号规则保持兼容。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七、资料处置</w:t>
      </w:r>
    </w:p>
    <w:p>
      <w:r>
        <w:rPr>
          <w:rFonts w:ascii="Calibri" w:hAnsi="Calibri" w:eastAsia="SimSun"/>
          <w:color w:val="000000"/>
          <w:sz w:val="22"/>
        </w:rPr>
        <w:t>活动照片、问卷、广播调用日志和样本对应表分别存放。公开版照片必须去除工作图层和模板编号；内部原始照片不得通过游客站普通相册索引发布。</w:t>
      </w:r>
    </w:p>
    <w:p>
      <w:r>
        <w:rPr>
          <w:rFonts w:ascii="Calibri" w:hAnsi="Calibri" w:eastAsia="SimSun"/>
          <w:color w:val="000000"/>
          <w:sz w:val="22"/>
        </w:rPr>
        <w:t>本稿由林思遥汇总现场记录，陈泊核对广播与服务器时间，周启明审阅指标用语。尚未完成公开审查，不得作为面向参与家庭的说明材料。</w:t>
      </w:r>
    </w:p>
    <w:p>
      <w:pPr>
        <w:spacing w:after="400"/>
      </w:pPr>
    </w:p>
    <w:p>
      <w:r>
        <w:rPr>
          <w:rFonts w:ascii="Calibri" w:hAnsi="Calibri" w:eastAsia="SimSun"/>
          <w:color w:val="000000"/>
          <w:sz w:val="22"/>
        </w:rPr>
        <w:t>汇总：林思遥　　设备核对：陈泊　　项目审阅：周启明</w:t>
      </w:r>
    </w:p>
    <w:p>
      <w:r>
        <w:rPr>
          <w:rFonts w:ascii="Calibri" w:hAnsi="Calibri" w:eastAsia="SimSun"/>
          <w:color w:val="000000"/>
          <w:sz w:val="22"/>
        </w:rPr>
        <w:t>2014年9月5日（2016年12月补订）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SimSun"/>
        <w:color w:val="666666"/>
        <w:sz w:val="18"/>
      </w:rPr>
      <w:t>临江市儿童发展与公共秩序管理办公室｜项目管理处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4C3B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家庭服务活动阶段报告工作稿</dc:title>
  <dc:subject>LJ-GP-07 2014年第三季度</dc:subject>
  <dc:creator>临江市儿童发展与公共秩序管理办公室</dc:creator>
  <cp:keywords>LJ-GP-07, 家庭服务, 阶段报告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