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  <w:color w:val="262626"/>
        </w:rPr>
        <w:t xml:space="preserve">C404 Blog 实验报告</w:t>
      </w:r>
    </w:p>
    <w:p>
      <w:pPr>
        <w:spacing w:after="331"/>
      </w:pPr>
      <w:r>
        <w:rPr>
          <w:rFonts w:ascii="Songti SC" w:hAnsi="Songti SC" w:cs="Songti SC"/>
          <w:sz w:val="40"/>
          <w:sz-cs w:val="40"/>
          <w:b/>
          <w:spacing w:val="0"/>
          <w:color w:val="343434"/>
        </w:rPr>
        <w:t xml:space="preserve">一、 系统模块概览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1. 前端架构 (Frontend)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入口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src/main.tsx</w:t>
      </w:r>
      <w:r>
        <w:rPr>
          <w:rFonts w:ascii="Songti SC" w:hAnsi="Songti SC" w:cs="Songti SC"/>
          <w:sz w:val="24"/>
          <w:sz-cs w:val="24"/>
          <w:spacing w:val="0"/>
        </w:rPr>
        <w:t xml:space="preserve">，挂载 </w:t>
      </w:r>
      <w:r>
        <w:rPr>
          <w:rFonts w:ascii="Courier" w:hAnsi="Courier" w:cs="Courier"/>
          <w:sz w:val="24"/>
          <w:sz-cs w:val="24"/>
          <w:spacing w:val="0"/>
        </w:rPr>
        <w:t xml:space="preserve">RouterProvider</w:t>
      </w:r>
      <w:r>
        <w:rPr>
          <w:rFonts w:ascii="Songti SC" w:hAnsi="Songti SC" w:cs="Songti SC"/>
          <w:sz w:val="24"/>
          <w:sz-cs w:val="24"/>
          <w:spacing w:val="0"/>
        </w:rPr>
        <w:t xml:space="preserve"> 与 </w:t>
      </w:r>
      <w:r>
        <w:rPr>
          <w:rFonts w:ascii="Courier" w:hAnsi="Courier" w:cs="Courier"/>
          <w:sz w:val="24"/>
          <w:sz-cs w:val="24"/>
          <w:spacing w:val="0"/>
        </w:rPr>
        <w:t xml:space="preserve">ApolloProvider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路由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src/routes/index.tsx</w:t>
      </w:r>
      <w:r>
        <w:rPr>
          <w:rFonts w:ascii="Songti SC" w:hAnsi="Songti SC" w:cs="Songti SC"/>
          <w:sz w:val="24"/>
          <w:sz-cs w:val="24"/>
          <w:spacing w:val="0"/>
        </w:rPr>
        <w:t xml:space="preserve"> 定义路径映射；</w:t>
      </w:r>
      <w:r>
        <w:rPr>
          <w:rFonts w:ascii="Courier" w:hAnsi="Courier" w:cs="Courier"/>
          <w:sz w:val="24"/>
          <w:sz-cs w:val="24"/>
          <w:spacing w:val="0"/>
        </w:rPr>
        <w:t xml:space="preserve">Layout</w:t>
      </w:r>
      <w:r>
        <w:rPr>
          <w:rFonts w:ascii="Songti SC" w:hAnsi="Songti SC" w:cs="Songti SC"/>
          <w:sz w:val="24"/>
          <w:sz-cs w:val="24"/>
          <w:spacing w:val="0"/>
        </w:rPr>
        <w:t xml:space="preserve"> 组件处理侧边栏 (Sidebar) 与未读通知轮询。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页面 (Pages)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src/pages/HomePage.tsx</w:t>
      </w:r>
      <w:r>
        <w:rPr>
          <w:rFonts w:ascii="Songti SC" w:hAnsi="Songti SC" w:cs="Songti SC"/>
          <w:sz w:val="24"/>
          <w:sz-cs w:val="24"/>
          <w:spacing w:val="0"/>
        </w:rPr>
        <w:t xml:space="preserve">：文章瀑布流/列表展示，集成无限滚动。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src/pages/PostPage.tsx</w:t>
      </w:r>
      <w:r>
        <w:rPr>
          <w:rFonts w:ascii="Songti SC" w:hAnsi="Songti SC" w:cs="Songti SC"/>
          <w:sz w:val="24"/>
          <w:sz-cs w:val="24"/>
          <w:spacing w:val="0"/>
        </w:rPr>
        <w:t xml:space="preserve">：文章详情页，支持 Markdown 渲染、TOC 目录、评论区。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src/pages/EditorPage.tsx</w:t>
      </w:r>
      <w:r>
        <w:rPr>
          <w:rFonts w:ascii="Songti SC" w:hAnsi="Songti SC" w:cs="Songti SC"/>
          <w:sz w:val="24"/>
          <w:sz-cs w:val="24"/>
          <w:spacing w:val="0"/>
        </w:rPr>
        <w:t xml:space="preserve">：基于 </w:t>
      </w:r>
      <w:r>
        <w:rPr>
          <w:rFonts w:ascii="Courier" w:hAnsi="Courier" w:cs="Courier"/>
          <w:sz w:val="24"/>
          <w:sz-cs w:val="24"/>
          <w:spacing w:val="0"/>
        </w:rPr>
        <w:t xml:space="preserve">@uiw/react-md-editor</w:t>
      </w:r>
      <w:r>
        <w:rPr>
          <w:rFonts w:ascii="Songti SC" w:hAnsi="Songti SC" w:cs="Songti SC"/>
          <w:sz w:val="24"/>
          <w:sz-cs w:val="24"/>
          <w:spacing w:val="0"/>
        </w:rPr>
        <w:t xml:space="preserve"> 的双栏 Markdown 编辑器，支持实时预览与图片上传。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src/pages/AssetsPage.tsx</w:t>
      </w:r>
      <w:r>
        <w:rPr>
          <w:rFonts w:ascii="Songti SC" w:hAnsi="Songti SC" w:cs="Songti SC"/>
          <w:sz w:val="24"/>
          <w:sz-cs w:val="24"/>
          <w:spacing w:val="0"/>
        </w:rPr>
        <w:t xml:space="preserve">：使用 </w:t>
      </w:r>
      <w:r>
        <w:rPr>
          <w:rFonts w:ascii="Courier" w:hAnsi="Courier" w:cs="Courier"/>
          <w:sz w:val="24"/>
          <w:sz-cs w:val="24"/>
          <w:spacing w:val="0"/>
        </w:rPr>
        <w:t xml:space="preserve">react-window</w:t>
      </w:r>
      <w:r>
        <w:rPr>
          <w:rFonts w:ascii="Songti SC" w:hAnsi="Songti SC" w:cs="Songti SC"/>
          <w:sz w:val="24"/>
          <w:sz-cs w:val="24"/>
          <w:spacing w:val="0"/>
        </w:rPr>
        <w:t xml:space="preserve"> 虚拟列表展示上传文件，支持搜索、复制链接。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src/pages/PostsPage.tsx</w:t>
      </w:r>
      <w:r>
        <w:rPr>
          <w:rFonts w:ascii="Songti SC" w:hAnsi="Songti SC" w:cs="Songti SC"/>
          <w:sz w:val="24"/>
          <w:sz-cs w:val="24"/>
          <w:spacing w:val="0"/>
        </w:rPr>
        <w:t xml:space="preserve">：表格展示文章，支持分页、过滤、批量操作。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组件 (Components)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MarkdownViewer</w:t>
      </w:r>
      <w:r>
        <w:rPr>
          <w:rFonts w:ascii="Songti SC" w:hAnsi="Songti SC" w:cs="Songti SC"/>
          <w:sz w:val="24"/>
          <w:sz-cs w:val="24"/>
          <w:spacing w:val="0"/>
        </w:rPr>
        <w:t xml:space="preserve">：集成 </w:t>
      </w:r>
      <w:r>
        <w:rPr>
          <w:rFonts w:ascii="Courier" w:hAnsi="Courier" w:cs="Courier"/>
          <w:sz w:val="24"/>
          <w:sz-cs w:val="24"/>
          <w:spacing w:val="0"/>
        </w:rPr>
        <w:t xml:space="preserve">ReactMarkdown</w:t>
      </w:r>
      <w:r>
        <w:rPr>
          <w:rFonts w:ascii="Songti SC" w:hAnsi="Songti SC" w:cs="Songti SC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</w:rPr>
        <w:t xml:space="preserve">remark-math</w:t>
      </w:r>
      <w:r>
        <w:rPr>
          <w:rFonts w:ascii="Songti SC" w:hAnsi="Songti SC" w:cs="Songti SC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</w:rPr>
        <w:t xml:space="preserve">rehype-katex</w:t>
      </w:r>
      <w:r>
        <w:rPr>
          <w:rFonts w:ascii="Songti SC" w:hAnsi="Songti SC" w:cs="Songti SC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</w:rPr>
        <w:t xml:space="preserve">rehype-highlight</w:t>
      </w:r>
      <w:r>
        <w:rPr>
          <w:rFonts w:ascii="Songti SC" w:hAnsi="Songti SC" w:cs="Songti SC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</w:rPr>
        <w:t xml:space="preserve">rehype-sanitize</w:t>
      </w:r>
      <w:r>
        <w:rPr>
          <w:rFonts w:ascii="Songti SC" w:hAnsi="Songti SC" w:cs="Songti SC"/>
          <w:sz w:val="24"/>
          <w:sz-cs w:val="24"/>
          <w:spacing w:val="0"/>
        </w:rPr>
        <w:t xml:space="preserve">，并支持 Mermaid 图表自动渲染。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TableOfContents</w:t>
      </w:r>
      <w:r>
        <w:rPr>
          <w:rFonts w:ascii="Songti SC" w:hAnsi="Songti SC" w:cs="Songti SC"/>
          <w:sz w:val="24"/>
          <w:sz-cs w:val="24"/>
          <w:spacing w:val="0"/>
        </w:rPr>
        <w:t xml:space="preserve">：自动解析通过 Markdown 生成的锚点导航。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MarkdownToolbar</w:t>
      </w:r>
      <w:r>
        <w:rPr>
          <w:rFonts w:ascii="Songti SC" w:hAnsi="Songti SC" w:cs="Songti SC"/>
          <w:sz w:val="24"/>
          <w:sz-cs w:val="24"/>
          <w:spacing w:val="0"/>
        </w:rPr>
        <w:t xml:space="preserve">：提供插入标题、代码块、链接、图片的快捷按钮。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AssetUploader</w:t>
      </w:r>
      <w:r>
        <w:rPr>
          <w:rFonts w:ascii="Songti SC" w:hAnsi="Songti SC" w:cs="Songti SC"/>
          <w:sz w:val="24"/>
          <w:sz-cs w:val="24"/>
          <w:spacing w:val="0"/>
        </w:rPr>
        <w:t xml:space="preserve">：封装 Ant Design Upload 组件 + GraphQL/REST 接口，上报上传进度与状态。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状态管理</w:t>
      </w:r>
      <w:r>
        <w:rPr>
          <w:rFonts w:ascii="Songti SC" w:hAnsi="Songti SC" w:cs="Songti SC"/>
          <w:sz w:val="24"/>
          <w:sz-cs w:val="24"/>
          <w:spacing w:val="0"/>
        </w:rPr>
        <w:t xml:space="preserve">：主要依赖 </w:t>
      </w:r>
      <w:r>
        <w:rPr>
          <w:rFonts w:ascii="Courier" w:hAnsi="Courier" w:cs="Courier"/>
          <w:sz w:val="24"/>
          <w:sz-cs w:val="24"/>
          <w:spacing w:val="0"/>
        </w:rPr>
        <w:t xml:space="preserve">Apollo Client Cache</w:t>
      </w:r>
      <w:r>
        <w:rPr>
          <w:rFonts w:ascii="Songti SC" w:hAnsi="Songti SC" w:cs="Songti SC"/>
          <w:sz w:val="24"/>
          <w:sz-cs w:val="24"/>
          <w:spacing w:val="0"/>
        </w:rPr>
        <w:t xml:space="preserve"> 进行服务端状态管理；部分 UI 状态使用 </w:t>
      </w:r>
      <w:r>
        <w:rPr>
          <w:rFonts w:ascii="Courier" w:hAnsi="Courier" w:cs="Courier"/>
          <w:sz w:val="24"/>
          <w:sz-cs w:val="24"/>
          <w:spacing w:val="0"/>
        </w:rPr>
        <w:t xml:space="preserve">React Context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API 交互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src/api/hooks/*.ts</w:t>
      </w:r>
      <w:r>
        <w:rPr>
          <w:rFonts w:ascii="Songti SC" w:hAnsi="Songti SC" w:cs="Songti SC"/>
          <w:sz w:val="24"/>
          <w:sz-cs w:val="24"/>
          <w:spacing w:val="0"/>
        </w:rPr>
        <w:t xml:space="preserve"> 封装自定义 Hook，如 </w:t>
      </w:r>
      <w:r>
        <w:rPr>
          <w:rFonts w:ascii="Courier" w:hAnsi="Courier" w:cs="Courier"/>
          <w:sz w:val="24"/>
          <w:sz-cs w:val="24"/>
          <w:spacing w:val="0"/>
        </w:rPr>
        <w:t xml:space="preserve">usePosts</w:t>
      </w:r>
      <w:r>
        <w:rPr>
          <w:rFonts w:ascii="Songti SC" w:hAnsi="Songti SC" w:cs="Songti SC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</w:rPr>
        <w:t xml:space="preserve">useSavePost</w:t>
      </w:r>
      <w:r>
        <w:rPr>
          <w:rFonts w:ascii="Songti SC" w:hAnsi="Songti SC" w:cs="Songti SC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4"/>
          <w:sz-cs w:val="24"/>
          <w:spacing w:val="0"/>
        </w:rPr>
        <w:t xml:space="preserve">useUploadAsset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样式</w:t>
      </w:r>
      <w:r>
        <w:rPr>
          <w:rFonts w:ascii="Songti SC" w:hAnsi="Songti SC" w:cs="Songti SC"/>
          <w:sz w:val="24"/>
          <w:sz-cs w:val="24"/>
          <w:spacing w:val="0"/>
        </w:rPr>
        <w:t xml:space="preserve">：使用 </w:t>
      </w:r>
      <w:r>
        <w:rPr>
          <w:rFonts w:ascii="Courier" w:hAnsi="Courier" w:cs="Courier"/>
          <w:sz w:val="24"/>
          <w:sz-cs w:val="24"/>
          <w:spacing w:val="0"/>
        </w:rPr>
        <w:t xml:space="preserve">Tailwind CSS</w:t>
      </w:r>
      <w:r>
        <w:rPr>
          <w:rFonts w:ascii="Songti SC" w:hAnsi="Songti SC" w:cs="Songti SC"/>
          <w:sz w:val="24"/>
          <w:sz-cs w:val="24"/>
          <w:spacing w:val="0"/>
        </w:rPr>
        <w:t xml:space="preserve"> 进行布局，</w:t>
      </w:r>
      <w:r>
        <w:rPr>
          <w:rFonts w:ascii="Courier" w:hAnsi="Courier" w:cs="Courier"/>
          <w:sz w:val="24"/>
          <w:sz-cs w:val="24"/>
          <w:spacing w:val="0"/>
        </w:rPr>
        <w:t xml:space="preserve">Ant Design</w:t>
      </w:r>
      <w:r>
        <w:rPr>
          <w:rFonts w:ascii="Songti SC" w:hAnsi="Songti SC" w:cs="Songti SC"/>
          <w:sz w:val="24"/>
          <w:sz-cs w:val="24"/>
          <w:spacing w:val="0"/>
        </w:rPr>
        <w:t xml:space="preserve"> 提供基础组件，配合 </w:t>
      </w:r>
      <w:r>
        <w:rPr>
          <w:rFonts w:ascii="Courier" w:hAnsi="Courier" w:cs="Courier"/>
          <w:sz w:val="24"/>
          <w:sz-cs w:val="24"/>
          <w:spacing w:val="0"/>
        </w:rPr>
        <w:t xml:space="preserve">github-markdown-css</w:t>
      </w:r>
      <w:r>
        <w:rPr>
          <w:rFonts w:ascii="Songti SC" w:hAnsi="Songti SC" w:cs="Songti SC"/>
          <w:sz w:val="24"/>
          <w:sz-cs w:val="24"/>
          <w:spacing w:val="0"/>
        </w:rPr>
        <w:t xml:space="preserve"> 渲染文章内容。全局暗色模式通过 CSS 变量控制。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2. 功能点详述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鉴权 (Authentication)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登录表单提交 GraphQL mutation。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成功后将 JWT 写入 </w:t>
      </w:r>
      <w:r>
        <w:rPr>
          <w:rFonts w:ascii="Courier" w:hAnsi="Courier" w:cs="Courier"/>
          <w:sz w:val="24"/>
          <w:sz-cs w:val="24"/>
          <w:spacing w:val="0"/>
        </w:rPr>
        <w:t xml:space="preserve">localStorage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通过 </w:t>
      </w:r>
      <w:r>
        <w:rPr>
          <w:rFonts w:ascii="Courier" w:hAnsi="Courier" w:cs="Courier"/>
          <w:sz w:val="24"/>
          <w:sz-cs w:val="24"/>
          <w:spacing w:val="0"/>
        </w:rPr>
        <w:t xml:space="preserve">Apollo Link</w:t>
      </w:r>
      <w:r>
        <w:rPr>
          <w:rFonts w:ascii="Songti SC" w:hAnsi="Songti SC" w:cs="Songti SC"/>
          <w:sz w:val="24"/>
          <w:sz-cs w:val="24"/>
          <w:spacing w:val="0"/>
        </w:rPr>
        <w:t xml:space="preserve"> 在所有请求头中自动注入 </w:t>
      </w:r>
      <w:r>
        <w:rPr>
          <w:rFonts w:ascii="Courier" w:hAnsi="Courier" w:cs="Courier"/>
          <w:sz w:val="24"/>
          <w:sz-cs w:val="24"/>
          <w:spacing w:val="0"/>
        </w:rPr>
        <w:t xml:space="preserve">Authorization: Bearer &lt;token&gt;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文章管理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支持文章的增删改查 (CRUD)。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内容存储为 Markdown 格式，同时维护元数据（标题、Slug、标签、封面、摘要、发布状态）。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Markdown 扩展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 GFM (GitHub Flavored Markdown)。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 LaTeX 数学公式 ($E=mc^2$)。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 Mermaid 流程图/时序图。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支持代码高亮、块引用、任务列表。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上传与素材库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支持图片/附件拖拽上传。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后端 </w:t>
      </w:r>
      <w:r>
        <w:rPr>
          <w:rFonts w:ascii="Courier" w:hAnsi="Courier" w:cs="Courier"/>
          <w:sz w:val="24"/>
          <w:sz-cs w:val="24"/>
          <w:spacing w:val="0"/>
        </w:rPr>
        <w:t xml:space="preserve">controllers/image.go</w:t>
      </w:r>
      <w:r>
        <w:rPr>
          <w:rFonts w:ascii="Songti SC" w:hAnsi="Songti SC" w:cs="Songti SC"/>
          <w:sz w:val="24"/>
          <w:sz-cs w:val="24"/>
          <w:spacing w:val="0"/>
        </w:rPr>
        <w:t xml:space="preserve"> 处理文件存储并返回可公开访问的 URL。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前端提供素材库界面，方便复制链接与预览。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Notion 数据同步 (新增)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功能</w:t>
      </w:r>
      <w:r>
        <w:rPr>
          <w:rFonts w:ascii="Songti SC" w:hAnsi="Songti SC" w:cs="Songti SC"/>
          <w:sz w:val="24"/>
          <w:sz-cs w:val="24"/>
          <w:spacing w:val="0"/>
        </w:rPr>
        <w:t xml:space="preserve">：一键从 Notion 数据库同步文章到博客。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实现</w:t>
      </w:r>
      <w:r>
        <w:rPr>
          <w:rFonts w:ascii="Songti SC" w:hAnsi="Songti SC" w:cs="Songti SC"/>
          <w:sz w:val="24"/>
          <w:sz-cs w:val="24"/>
          <w:spacing w:val="0"/>
        </w:rPr>
        <w:t xml:space="preserve">：管理员在侧边栏点击 "Sync Notion" 按钮触发。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流程</w:t>
      </w:r>
      <w:r>
        <w:rPr>
          <w:rFonts w:ascii="Songti SC" w:hAnsi="Songti SC" w:cs="Songti SC"/>
          <w:sz w:val="24"/>
          <w:sz-cs w:val="24"/>
          <w:spacing w:val="0"/>
        </w:rPr>
        <w:t xml:space="preserve">：后端连接 Notion API -&gt; 遍历 Page -&gt; 转换 Block 为 Markdown -&gt; 写入/更新数据库。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统计仪表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集成 </w:t>
      </w:r>
      <w:r>
        <w:rPr>
          <w:rFonts w:ascii="Courier" w:hAnsi="Courier" w:cs="Courier"/>
          <w:sz w:val="24"/>
          <w:sz-cs w:val="24"/>
          <w:spacing w:val="0"/>
        </w:rPr>
        <w:t xml:space="preserve">recharts</w:t>
      </w:r>
      <w:r>
        <w:rPr>
          <w:rFonts w:ascii="Songti SC" w:hAnsi="Songti SC" w:cs="Songti SC"/>
          <w:sz w:val="24"/>
          <w:sz-cs w:val="24"/>
          <w:spacing w:val="0"/>
        </w:rPr>
        <w:t xml:space="preserve"> 展示访问趋势、文章分布。</w:t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数据源自 GraphQL Query </w:t>
      </w:r>
      <w:r>
        <w:rPr>
          <w:rFonts w:ascii="Courier" w:hAnsi="Courier" w:cs="Courier"/>
          <w:sz w:val="24"/>
          <w:sz-cs w:val="24"/>
          <w:spacing w:val="0"/>
        </w:rPr>
        <w:t xml:space="preserve">stats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配置管理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.env</w:t>
      </w:r>
      <w:r>
        <w:rPr>
          <w:rFonts w:ascii="Songti SC" w:hAnsi="Songti SC" w:cs="Songti SC"/>
          <w:sz w:val="24"/>
          <w:sz-cs w:val="24"/>
          <w:spacing w:val="0"/>
        </w:rPr>
        <w:t xml:space="preserve"> 文件管理环境变量。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backend/config/*.yaml</w:t>
      </w:r>
      <w:r>
        <w:rPr>
          <w:rFonts w:ascii="Songti SC" w:hAnsi="Songti SC" w:cs="Songti SC"/>
          <w:sz w:val="24"/>
          <w:sz-cs w:val="24"/>
          <w:spacing w:val="0"/>
        </w:rPr>
        <w:t xml:space="preserve"> + </w:t>
      </w:r>
      <w:r>
        <w:rPr>
          <w:rFonts w:ascii="Courier" w:hAnsi="Courier" w:cs="Courier"/>
          <w:sz w:val="24"/>
          <w:sz-cs w:val="24"/>
          <w:spacing w:val="0"/>
        </w:rPr>
        <w:t xml:space="preserve">set_env.sh</w:t>
      </w:r>
      <w:r>
        <w:rPr>
          <w:rFonts w:ascii="Songti SC" w:hAnsi="Songti SC" w:cs="Songti SC"/>
          <w:sz w:val="24"/>
          <w:sz-cs w:val="24"/>
          <w:spacing w:val="0"/>
        </w:rPr>
        <w:t xml:space="preserve"> 统一注入端口、数据库、SMTP 等参数。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config/config.go</w:t>
      </w:r>
      <w:r>
        <w:rPr>
          <w:rFonts w:ascii="Songti SC" w:hAnsi="Songti SC" w:cs="Songti SC"/>
          <w:sz w:val="24"/>
          <w:sz-cs w:val="24"/>
          <w:spacing w:val="0"/>
        </w:rPr>
        <w:t xml:space="preserve"> 负责配置解析。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3. 后端架构 (Backend)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入口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backend/main.go</w:t>
      </w:r>
      <w:r>
        <w:rPr>
          <w:rFonts w:ascii="Songti SC" w:hAnsi="Songti SC" w:cs="Songti SC"/>
          <w:sz w:val="24"/>
          <w:sz-cs w:val="24"/>
          <w:spacing w:val="0"/>
        </w:rPr>
        <w:t xml:space="preserve"> 启动 Gin 引擎，引入 </w:t>
      </w:r>
      <w:r>
        <w:rPr>
          <w:rFonts w:ascii="Courier" w:hAnsi="Courier" w:cs="Courier"/>
          <w:sz w:val="24"/>
          <w:sz-cs w:val="24"/>
          <w:spacing w:val="0"/>
        </w:rPr>
        <w:t xml:space="preserve">routes/router.go</w:t>
      </w:r>
      <w:r>
        <w:rPr>
          <w:rFonts w:ascii="Songti SC" w:hAnsi="Songti SC" w:cs="Songti SC"/>
          <w:sz w:val="24"/>
          <w:sz-cs w:val="24"/>
          <w:spacing w:val="0"/>
        </w:rPr>
        <w:t xml:space="preserve">，并注册 REST 和 GraphQL 路由。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中间件 (Middleware)</w:t>
      </w:r>
      <w:r>
        <w:rPr>
          <w:rFonts w:ascii="Songti SC" w:hAnsi="Songti SC" w:cs="Songti SC"/>
          <w:sz w:val="24"/>
          <w:sz-cs w:val="24"/>
          <w:spacing w:val="0"/>
        </w:rPr>
        <w:t xml:space="preserve">：日志记录、CORS 跨域配置、JWT 权限校验、Panic Recovery、Request ID 注入。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控制器 (Controllers)</w:t>
      </w:r>
      <w:r>
        <w:rPr>
          <w:rFonts w:ascii="Songti SC" w:hAnsi="Songti SC" w:cs="Songti SC"/>
          <w:sz w:val="24"/>
          <w:sz-cs w:val="24"/>
          <w:spacing w:val="0"/>
        </w:rPr>
        <w:t xml:space="preserve">：Auth, Posts, Assets, Stats。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服务层 (Services)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services/auth.go</w:t>
      </w:r>
      <w:r>
        <w:rPr>
          <w:rFonts w:ascii="Songti SC" w:hAnsi="Songti SC" w:cs="Songti SC"/>
          <w:sz w:val="24"/>
          <w:sz-cs w:val="24"/>
          <w:spacing w:val="0"/>
        </w:rPr>
        <w:t xml:space="preserve">：密码哈希、JWT。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services/post.go</w:t>
      </w:r>
      <w:r>
        <w:rPr>
          <w:rFonts w:ascii="Songti SC" w:hAnsi="Songti SC" w:cs="Songti SC"/>
          <w:sz w:val="24"/>
          <w:sz-cs w:val="24"/>
          <w:spacing w:val="0"/>
        </w:rPr>
        <w:t xml:space="preserve">：文章逻辑。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services/upload.go</w:t>
      </w:r>
      <w:r>
        <w:rPr>
          <w:rFonts w:ascii="Songti SC" w:hAnsi="Songti SC" w:cs="Songti SC"/>
          <w:sz w:val="24"/>
          <w:sz-cs w:val="24"/>
          <w:spacing w:val="0"/>
        </w:rPr>
        <w:t xml:space="preserve">：文件处理。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services/email.go</w:t>
      </w:r>
      <w:r>
        <w:rPr>
          <w:rFonts w:ascii="Songti SC" w:hAnsi="Songti SC" w:cs="Songti SC"/>
          <w:sz w:val="24"/>
          <w:sz-cs w:val="24"/>
          <w:spacing w:val="0"/>
        </w:rPr>
        <w:t xml:space="preserve">：邮件通知。</w:t>
      </w:r>
    </w:p>
    <w:p>
      <w:pPr>
        <w:ind w:left="1440" w:first-line="-1440"/>
        <w:spacing w:after="100"/>
      </w:pPr>
      <w:r>
        <w:rPr>
          <w:rFonts w:ascii="Courier" w:hAnsi="Courier" w:cs="Courier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4"/>
          <w:sz-cs w:val="24"/>
          <w:spacing w:val="0"/>
        </w:rPr>
        <w:t xml:space="preserve">services/notion.go</w:t>
      </w:r>
      <w:r>
        <w:rPr>
          <w:rFonts w:ascii="Songti SC" w:hAnsi="Songti SC" w:cs="Songti SC"/>
          <w:sz w:val="24"/>
          <w:sz-cs w:val="24"/>
          <w:spacing w:val="0"/>
        </w:rPr>
        <w:t xml:space="preserve"> (新增)：封装 </w:t>
      </w:r>
      <w:r>
        <w:rPr>
          <w:rFonts w:ascii="Courier" w:hAnsi="Courier" w:cs="Courier"/>
          <w:sz w:val="24"/>
          <w:sz-cs w:val="24"/>
          <w:spacing w:val="0"/>
        </w:rPr>
        <w:t xml:space="preserve">jomei/notionapi</w:t>
      </w:r>
      <w:r>
        <w:rPr>
          <w:rFonts w:ascii="Songti SC" w:hAnsi="Songti SC" w:cs="Songti SC"/>
          <w:sz w:val="24"/>
          <w:sz-cs w:val="24"/>
          <w:spacing w:val="0"/>
        </w:rPr>
        <w:t xml:space="preserve">，实现 Notion Block 到 Markdown 的转换逻辑及同步策略。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GraphQL</w:t>
      </w:r>
      <w:r>
        <w:rPr>
          <w:rFonts w:ascii="Songti SC" w:hAnsi="Songti SC" w:cs="Songti SC"/>
          <w:sz w:val="24"/>
          <w:sz-cs w:val="24"/>
          <w:spacing w:val="0"/>
        </w:rPr>
        <w:t xml:space="preserve">：schema 和 resolver 实现。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模型 (Models)</w:t>
      </w:r>
      <w:r>
        <w:rPr>
          <w:rFonts w:ascii="Songti SC" w:hAnsi="Songti SC" w:cs="Songti SC"/>
          <w:sz w:val="24"/>
          <w:sz-cs w:val="24"/>
          <w:spacing w:val="0"/>
        </w:rPr>
        <w:t xml:space="preserve">：GORM 模型定义。</w:t>
      </w:r>
    </w:p>
    <w:p>
      <w:pPr>
        <w:spacing w:after="331"/>
      </w:pPr>
      <w:r>
        <w:rPr>
          <w:rFonts w:ascii="Songti SC" w:hAnsi="Songti SC" w:cs="Songti SC"/>
          <w:sz w:val="40"/>
          <w:sz-cs w:val="40"/>
          <w:b/>
          <w:spacing w:val="0"/>
          <w:color w:val="343434"/>
        </w:rPr>
        <w:t xml:space="preserve">二、 架构设计与数据流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四、DDD 与 MVC 组合设计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Identity 域</w:t>
      </w:r>
      <w:r>
        <w:rPr>
          <w:rFonts w:ascii="Songti SC" w:hAnsi="Songti SC" w:cs="Songti SC"/>
          <w:sz w:val="24"/>
          <w:sz-cs w:val="24"/>
          <w:spacing w:val="0"/>
        </w:rPr>
        <w:t xml:space="preserve">：AuthService (登录表单 → JWT)。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Content 域</w:t>
      </w:r>
      <w:r>
        <w:rPr>
          <w:rFonts w:ascii="Songti SC" w:hAnsi="Songti SC" w:cs="Songti SC"/>
          <w:sz w:val="24"/>
          <w:sz-cs w:val="24"/>
          <w:spacing w:val="0"/>
        </w:rPr>
        <w:t xml:space="preserve">：PostService (Markdown/metadata → Post DTO)。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Media 域</w:t>
      </w:r>
      <w:r>
        <w:rPr>
          <w:rFonts w:ascii="Songti SC" w:hAnsi="Songti SC" w:cs="Songti SC"/>
          <w:sz w:val="24"/>
          <w:sz-cs w:val="24"/>
          <w:spacing w:val="0"/>
        </w:rPr>
        <w:t xml:space="preserve">：UploadService (文件流 → 存储路径 + URL)。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Operations 域</w:t>
      </w:r>
      <w:r>
        <w:rPr>
          <w:rFonts w:ascii="Songti SC" w:hAnsi="Songti SC" w:cs="Songti SC"/>
          <w:sz w:val="24"/>
          <w:sz-cs w:val="24"/>
          <w:spacing w:val="0"/>
        </w:rPr>
        <w:t xml:space="preserve">：StatsService, EmailService。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Sync 域 (新增)</w:t>
      </w:r>
      <w:r>
        <w:rPr>
          <w:rFonts w:ascii="Songti SC" w:hAnsi="Songti SC" w:cs="Songti SC"/>
          <w:sz w:val="24"/>
          <w:sz-cs w:val="24"/>
          <w:spacing w:val="0"/>
        </w:rPr>
        <w:t xml:space="preserve">：NotionService (Notion API -&gt; Markdown Article)。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五、数据处理流水线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输入层</w:t>
      </w:r>
      <w:r>
        <w:rPr>
          <w:rFonts w:ascii="Songti SC" w:hAnsi="Songti SC" w:cs="Songti SC"/>
          <w:sz w:val="24"/>
          <w:sz-cs w:val="24"/>
          <w:spacing w:val="0"/>
        </w:rPr>
        <w:t xml:space="preserve">：Ant Design 表单、Markdown 编辑器、Notion API。前端校验。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传输层</w:t>
      </w:r>
      <w:r>
        <w:rPr>
          <w:rFonts w:ascii="Songti SC" w:hAnsi="Songti SC" w:cs="Songti SC"/>
          <w:sz w:val="24"/>
          <w:sz-cs w:val="24"/>
          <w:spacing w:val="0"/>
        </w:rPr>
        <w:t xml:space="preserve">：GraphQL mutation/query，文件 multipart。JWT 认证。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后端校验</w:t>
      </w:r>
      <w:r>
        <w:rPr>
          <w:rFonts w:ascii="Songti SC" w:hAnsi="Songti SC" w:cs="Songti SC"/>
          <w:sz w:val="24"/>
          <w:sz-cs w:val="24"/>
          <w:spacing w:val="0"/>
        </w:rPr>
        <w:t xml:space="preserve">：Gin binding + validator + 业务校验。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转换层</w:t>
      </w:r>
      <w:r>
        <w:rPr>
          <w:rFonts w:ascii="Songti SC" w:hAnsi="Songti SC" w:cs="Songti SC"/>
          <w:sz w:val="24"/>
          <w:sz-cs w:val="24"/>
          <w:spacing w:val="0"/>
        </w:rPr>
        <w:t xml:space="preserve">：Markdown AST 解析，Notion Block 转换，DTO/Model 转换。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持久层</w:t>
      </w:r>
      <w:r>
        <w:rPr>
          <w:rFonts w:ascii="Songti SC" w:hAnsi="Songti SC" w:cs="Songti SC"/>
          <w:sz w:val="24"/>
          <w:sz-cs w:val="24"/>
          <w:spacing w:val="0"/>
        </w:rPr>
        <w:t xml:space="preserve">：GORM 自动迁移，文件存储。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输出层</w:t>
      </w:r>
      <w:r>
        <w:rPr>
          <w:rFonts w:ascii="Songti SC" w:hAnsi="Songti SC" w:cs="Songti SC"/>
          <w:sz w:val="24"/>
          <w:sz-cs w:val="24"/>
          <w:spacing w:val="0"/>
        </w:rPr>
        <w:t xml:space="preserve">：React 渲染，TOC 更新，统计。</w:t>
      </w:r>
    </w:p>
    <w:p>
      <w:pPr>
        <w:spacing w:after="331"/>
      </w:pPr>
      <w:r>
        <w:rPr>
          <w:rFonts w:ascii="Songti SC" w:hAnsi="Songti SC" w:cs="Songti SC"/>
          <w:sz w:val="40"/>
          <w:sz-cs w:val="40"/>
          <w:b/>
          <w:spacing w:val="0"/>
          <w:color w:val="343434"/>
        </w:rPr>
        <w:t xml:space="preserve">三、 关键实现细节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七、关键代码示例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前端：Notion 同步 Hook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 src/api/graphql/admin.ts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export const useNotionSync = () =&gt;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[syncNotionPostsMutation, { loading, error }] = useMutation(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SYNC_NOTION_POSTS_MUTATION,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context: { endpoint: 'admin' },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  refetchQueries: [{ query: ALL_COMMENTS_QUERY }],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const syncNotion = async () =&gt;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const result = await syncNotionPostsMutation();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return result.data?.syncNotionPosts;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};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return { syncNotion, loading, error };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};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后端：Notion Service 处理逻辑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// services/notion.go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func (s *NotionService) SyncPosts(ctx context.Context, adminUser *models.User) error {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1. 获取所有 Database 中的 Pages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2. 遍历 Page，检查 LastEditedTime 决定是否更新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3. 调用 API 获取 Page 的所有 Blocks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4. 将 Blocks 转换为 Markdown 字符串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    // 5. 保存/更新 BlogPost 到数据库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}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八、数据库与 GraphQL 设计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实体关系</w:t>
      </w:r>
      <w:r>
        <w:rPr>
          <w:rFonts w:ascii="Songti SC" w:hAnsi="Songti SC" w:cs="Songti SC"/>
          <w:sz w:val="24"/>
          <w:sz-cs w:val="24"/>
          <w:spacing w:val="0"/>
        </w:rPr>
        <w:t xml:space="preserve">：User-Post, Post-Asset。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更新</w:t>
      </w:r>
      <w:r>
        <w:rPr>
          <w:rFonts w:ascii="Songti SC" w:hAnsi="Songti SC" w:cs="Songti SC"/>
          <w:sz w:val="24"/>
          <w:sz-cs w:val="24"/>
          <w:spacing w:val="0"/>
        </w:rPr>
        <w:t xml:space="preserve">：Post 模型新增 </w:t>
      </w:r>
      <w:r>
        <w:rPr>
          <w:rFonts w:ascii="Courier" w:hAnsi="Courier" w:cs="Courier"/>
          <w:sz w:val="24"/>
          <w:sz-cs w:val="24"/>
          <w:spacing w:val="0"/>
        </w:rPr>
        <w:t xml:space="preserve">NotionPageID</w:t>
      </w:r>
      <w:r>
        <w:rPr>
          <w:rFonts w:ascii="Songti SC" w:hAnsi="Songti SC" w:cs="Songti SC"/>
          <w:sz w:val="24"/>
          <w:sz-cs w:val="24"/>
          <w:spacing w:val="0"/>
        </w:rPr>
        <w:t xml:space="preserve"> 和 </w:t>
      </w:r>
      <w:r>
        <w:rPr>
          <w:rFonts w:ascii="Courier" w:hAnsi="Courier" w:cs="Courier"/>
          <w:sz w:val="24"/>
          <w:sz-cs w:val="24"/>
          <w:spacing w:val="0"/>
        </w:rPr>
        <w:t xml:space="preserve">NotionLastEdit</w:t>
      </w:r>
      <w:r>
        <w:rPr>
          <w:rFonts w:ascii="Songti SC" w:hAnsi="Songti SC" w:cs="Songti SC"/>
          <w:sz w:val="24"/>
          <w:sz-cs w:val="24"/>
          <w:spacing w:val="0"/>
        </w:rPr>
        <w:t xml:space="preserve"> 字段。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GraphQL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syncNotionPosts</w:t>
      </w:r>
      <w:r>
        <w:rPr>
          <w:rFonts w:ascii="Songti SC" w:hAnsi="Songti SC" w:cs="Songti SC"/>
          <w:sz w:val="24"/>
          <w:sz-cs w:val="24"/>
          <w:spacing w:val="0"/>
        </w:rPr>
        <w:t xml:space="preserve"> mutation。</w:t>
      </w:r>
    </w:p>
    <w:p>
      <w:pPr>
        <w:spacing w:after="331"/>
      </w:pPr>
      <w:r>
        <w:rPr>
          <w:rFonts w:ascii="Songti SC" w:hAnsi="Songti SC" w:cs="Songti SC"/>
          <w:sz w:val="40"/>
          <w:sz-cs w:val="40"/>
          <w:b/>
          <w:spacing w:val="0"/>
          <w:color w:val="343434"/>
        </w:rPr>
        <w:t xml:space="preserve">四、 总结</w:t>
      </w:r>
    </w:p>
    <w:p>
      <w:pPr>
        <w:spacing w:after="360"/>
      </w:pPr>
      <w:r>
        <w:rPr>
          <w:rFonts w:ascii="Songti SC" w:hAnsi="Songti SC" w:cs="Songti SC"/>
          <w:sz w:val="36"/>
          <w:sz-cs w:val="36"/>
          <w:b/>
          <w:spacing w:val="0"/>
          <w:color w:val="434343"/>
        </w:rPr>
        <w:t xml:space="preserve">十一、实验结论与展望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成果</w:t>
      </w:r>
      <w:r>
        <w:rPr>
          <w:rFonts w:ascii="Songti SC" w:hAnsi="Songti SC" w:cs="Songti SC"/>
          <w:sz w:val="24"/>
          <w:sz-cs w:val="24"/>
          <w:spacing w:val="0"/>
        </w:rPr>
        <w:t xml:space="preserve">：实现了全栈博客系统，包括架构设计、Markdown 渲染、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Notion 同步</w:t>
      </w:r>
      <w:r>
        <w:rPr>
          <w:rFonts w:ascii="Songti SC" w:hAnsi="Songti SC" w:cs="Songti SC"/>
          <w:sz w:val="24"/>
          <w:sz-cs w:val="24"/>
          <w:spacing w:val="0"/>
        </w:rPr>
        <w:t xml:space="preserve">、DevOps。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优势</w:t>
      </w:r>
      <w:r>
        <w:rPr>
          <w:rFonts w:ascii="Songti SC" w:hAnsi="Songti SC" w:cs="Songti SC"/>
          <w:sz w:val="24"/>
          <w:sz-cs w:val="24"/>
          <w:spacing w:val="0"/>
        </w:rPr>
        <w:t xml:space="preserve">：清晰架构、类型安全、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Notion Sync 提高写作效率</w:t>
      </w:r>
      <w:r>
        <w:rPr>
          <w:rFonts w:ascii="Songti SC" w:hAnsi="Songti SC" w:cs="Songti SC"/>
          <w:sz w:val="24"/>
          <w:sz-cs w:val="24"/>
          <w:spacing w:val="0"/>
        </w:rPr>
        <w:t xml:space="preserve">、安全性。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展望</w:t>
      </w:r>
      <w:r>
        <w:rPr>
          <w:rFonts w:ascii="Songti SC" w:hAnsi="Songti SC" w:cs="Songti SC"/>
          <w:sz w:val="24"/>
          <w:sz-cs w:val="24"/>
          <w:spacing w:val="0"/>
        </w:rPr>
        <w:t xml:space="preserve">：多租户、SSR、AI 辅助、可观测性。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