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72D" w:rsidRDefault="000A072D">
      <w:pPr>
        <w:rPr>
          <w:lang w:val="en-US"/>
        </w:rPr>
      </w:pPr>
      <w:r>
        <w:rPr>
          <w:lang w:val="en-US"/>
        </w:rPr>
        <w:t>The goal (introduction)</w:t>
      </w:r>
    </w:p>
    <w:p w:rsidR="00A554C8" w:rsidRDefault="00A554C8">
      <w:pPr>
        <w:rPr>
          <w:lang w:val="en-US"/>
        </w:rPr>
      </w:pPr>
      <w:r>
        <w:rPr>
          <w:lang w:val="en-US"/>
        </w:rPr>
        <w:t>The goal of this code is to model the flow of the concentration of a substance through a homogeneous porous media. The flow obeys the advection diffusion equation</w:t>
      </w:r>
    </w:p>
    <w:p w:rsidR="000A072D" w:rsidRDefault="000A072D">
      <w:pPr>
        <w:rPr>
          <w:lang w:val="en-US"/>
        </w:rPr>
      </w:pPr>
    </w:p>
    <w:p w:rsidR="000A072D" w:rsidRDefault="000A072D">
      <w:pPr>
        <w:rPr>
          <w:lang w:val="en-US"/>
        </w:rPr>
      </w:pPr>
      <w:r>
        <w:rPr>
          <w:lang w:val="en-US"/>
        </w:rPr>
        <w:t>The domain</w:t>
      </w:r>
    </w:p>
    <w:p w:rsidR="00A554C8" w:rsidRDefault="00A554C8">
      <w:pPr>
        <w:rPr>
          <w:lang w:val="en-US"/>
        </w:rPr>
      </w:pPr>
    </w:p>
    <w:p w:rsidR="00A554C8" w:rsidRDefault="00A554C8">
      <w:pPr>
        <w:rPr>
          <w:lang w:val="en-US"/>
        </w:rPr>
      </w:pPr>
      <w:r w:rsidRPr="00A554C8">
        <w:rPr>
          <w:lang w:val="en-US"/>
        </w:rPr>
        <w:drawing>
          <wp:inline distT="0" distB="0" distL="0" distR="0" wp14:anchorId="6EC712D0" wp14:editId="0C07B72E">
            <wp:extent cx="4691380" cy="26270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7745" cy="26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2D" w:rsidRDefault="000A072D">
      <w:pPr>
        <w:rPr>
          <w:lang w:val="en-US"/>
        </w:rPr>
      </w:pPr>
    </w:p>
    <w:p w:rsidR="000A072D" w:rsidRDefault="00D474CC">
      <w:pPr>
        <w:rPr>
          <w:lang w:val="en-US"/>
        </w:rPr>
      </w:pPr>
      <w:r>
        <w:rPr>
          <w:lang w:val="en-US"/>
        </w:rPr>
        <w:t>The Governing Equations in the domain</w:t>
      </w:r>
    </w:p>
    <w:p w:rsidR="00D474CC" w:rsidRDefault="00D474CC">
      <w:pPr>
        <w:rPr>
          <w:lang w:val="en-US"/>
        </w:rPr>
      </w:pPr>
    </w:p>
    <w:p w:rsidR="00D474CC" w:rsidRDefault="00D474CC">
      <w:pPr>
        <w:rPr>
          <w:lang w:val="en-US"/>
        </w:rPr>
      </w:pPr>
      <w:r>
        <w:rPr>
          <w:lang w:val="en-US"/>
        </w:rPr>
        <w:t xml:space="preserve">Advection Diffusion Equation </w:t>
      </w:r>
    </w:p>
    <w:p w:rsidR="00D474CC" w:rsidRPr="00D474CC" w:rsidRDefault="00C12142">
      <w:pPr>
        <w:rPr>
          <w:rFonts w:eastAsiaTheme="minorEastAsia"/>
          <w:b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 ∙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D∇u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w∙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u=f</m:t>
          </m:r>
        </m:oMath>
      </m:oMathPara>
    </w:p>
    <w:p w:rsidR="00D474CC" w:rsidRDefault="00D474CC">
      <w:pPr>
        <w:rPr>
          <w:rFonts w:eastAsiaTheme="minorEastAsia"/>
          <w:bCs/>
          <w:lang w:val="en-US"/>
        </w:rPr>
      </w:pPr>
      <w:r>
        <w:rPr>
          <w:rFonts w:eastAsiaTheme="minorEastAsia"/>
          <w:bCs/>
          <w:lang w:val="en-US"/>
        </w:rPr>
        <w:t>Where u = scalar field variable (eg concentration)</w:t>
      </w:r>
    </w:p>
    <w:p w:rsidR="00D474CC" w:rsidRDefault="00D474CC">
      <w:pPr>
        <w:rPr>
          <w:rFonts w:eastAsiaTheme="minorEastAsia"/>
          <w:bCs/>
          <w:lang w:val="en-US"/>
        </w:rPr>
      </w:pPr>
      <w:r>
        <w:rPr>
          <w:rFonts w:eastAsiaTheme="minorEastAsia"/>
          <w:bCs/>
          <w:lang w:val="en-US"/>
        </w:rPr>
        <w:t>D = diffusion coefficient</w:t>
      </w:r>
    </w:p>
    <w:p w:rsidR="00D474CC" w:rsidRDefault="00D474CC">
      <w:pPr>
        <w:rPr>
          <w:rFonts w:eastAsiaTheme="minorEastAsia"/>
          <w:bCs/>
          <w:lang w:val="en-US"/>
        </w:rPr>
      </w:pPr>
      <w:r>
        <w:rPr>
          <w:rFonts w:eastAsiaTheme="minorEastAsia"/>
          <w:b/>
          <w:lang w:val="en-US"/>
        </w:rPr>
        <w:t>w</w:t>
      </w:r>
      <w:r>
        <w:rPr>
          <w:rFonts w:eastAsiaTheme="minorEastAsia"/>
          <w:bCs/>
          <w:lang w:val="en-US"/>
        </w:rPr>
        <w:t xml:space="preserve"> = velocity</w:t>
      </w:r>
    </w:p>
    <w:p w:rsidR="006820F0" w:rsidRDefault="006820F0">
      <w:pPr>
        <w:rPr>
          <w:rFonts w:eastAsiaTheme="minorEastAsia"/>
          <w:bCs/>
          <w:lang w:val="en-US"/>
        </w:rPr>
      </w:pPr>
      <w:r>
        <w:rPr>
          <w:rFonts w:eastAsiaTheme="minorEastAsia"/>
          <w:bCs/>
          <w:lang w:val="en-US"/>
        </w:rPr>
        <w:t>f = source term</w:t>
      </w:r>
    </w:p>
    <w:p w:rsidR="006820F0" w:rsidRDefault="006820F0">
      <w:pPr>
        <w:rPr>
          <w:rFonts w:eastAsiaTheme="minorEastAsia"/>
          <w:bCs/>
          <w:lang w:val="en-US"/>
        </w:rPr>
      </w:pPr>
    </w:p>
    <w:p w:rsidR="006820F0" w:rsidRDefault="006820F0">
      <w:pPr>
        <w:rPr>
          <w:rFonts w:eastAsiaTheme="minorEastAsia"/>
          <w:bCs/>
          <w:lang w:val="en-US"/>
        </w:rPr>
      </w:pPr>
      <w:r>
        <w:rPr>
          <w:rFonts w:eastAsiaTheme="minorEastAsia"/>
          <w:bCs/>
          <w:lang w:val="en-US"/>
        </w:rPr>
        <w:t xml:space="preserve">Boundary conditions </w:t>
      </w:r>
    </w:p>
    <w:p w:rsidR="006820F0" w:rsidRPr="006820F0" w:rsidRDefault="00C12142">
      <w:pPr>
        <w:rPr>
          <w:rFonts w:eastAsiaTheme="minorEastAsia"/>
          <w:bCs/>
          <w:color w:val="FF0000"/>
          <w:lang w:val="en-US"/>
        </w:rPr>
      </w:pPr>
      <m:oMathPara>
        <m:oMath>
          <m:r>
            <w:rPr>
              <w:rFonts w:ascii="Cambria Math" w:eastAsiaTheme="minorEastAsia" w:hAnsi="Cambria Math"/>
              <w:color w:val="FF0000"/>
              <w:lang w:val="en-US"/>
            </w:rPr>
            <m:t>u= 0 on ∂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ϵ</m:t>
              </m:r>
            </m:sup>
          </m:sSup>
          <m:r>
            <w:rPr>
              <w:rFonts w:ascii="Cambria Math" w:eastAsiaTheme="minorEastAsia" w:hAnsi="Cambria Math"/>
              <w:color w:val="FF0000"/>
              <w:lang w:val="en-US"/>
            </w:rPr>
            <m:t>∩∂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color w:val="FF000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ϵ</m:t>
              </m:r>
            </m:sup>
          </m:sSup>
        </m:oMath>
      </m:oMathPara>
    </w:p>
    <w:p w:rsidR="006820F0" w:rsidRPr="00104687" w:rsidRDefault="00C12142">
      <w:pPr>
        <w:rPr>
          <w:rFonts w:eastAsiaTheme="minorEastAsia"/>
          <w:bCs/>
          <w:color w:val="4472C4" w:themeColor="accen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4472C4" w:themeColor="accent1"/>
              <w:lang w:val="en-US"/>
            </w:rPr>
            <m:t>u = g on ∂Ω∩∂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color w:val="4472C4" w:themeColor="accen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ϵ</m:t>
              </m:r>
            </m:sup>
          </m:sSup>
        </m:oMath>
      </m:oMathPara>
    </w:p>
    <w:p w:rsidR="00104687" w:rsidRDefault="00104687">
      <w:p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The Problem</w:t>
      </w:r>
    </w:p>
    <w:p w:rsidR="00104687" w:rsidRDefault="00104687" w:rsidP="00104687">
      <w:pPr>
        <w:pStyle w:val="ListParagraph"/>
        <w:numPr>
          <w:ilvl w:val="0"/>
          <w:numId w:val="1"/>
        </w:num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The ADE is a second order PDE, which means that u is both continuous and very smooth</w:t>
      </w:r>
    </w:p>
    <w:p w:rsidR="00104687" w:rsidRDefault="00104687" w:rsidP="00104687">
      <w:pPr>
        <w:pStyle w:val="ListParagraph"/>
        <w:numPr>
          <w:ilvl w:val="0"/>
          <w:numId w:val="1"/>
        </w:num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 xml:space="preserve">Numerical simulations work with numbers instead of functions, meaning that the solution a computer outputs is globally continuous but not globally differentiable. </w:t>
      </w:r>
    </w:p>
    <w:p w:rsidR="00442A35" w:rsidRDefault="00442A35" w:rsidP="00104687">
      <w:pPr>
        <w:pStyle w:val="ListParagraph"/>
        <w:numPr>
          <w:ilvl w:val="0"/>
          <w:numId w:val="1"/>
        </w:num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The ADE in the second order PDE is written in what is known as the ‘strong form’, so we need to convert it to a weak form</w:t>
      </w:r>
    </w:p>
    <w:p w:rsidR="00442A35" w:rsidRDefault="00442A35" w:rsidP="00442A35">
      <w:pPr>
        <w:rPr>
          <w:rFonts w:eastAsiaTheme="minorEastAsia"/>
          <w:bCs/>
          <w:color w:val="000000" w:themeColor="text1"/>
          <w:lang w:val="en-US"/>
        </w:rPr>
      </w:pPr>
    </w:p>
    <w:p w:rsidR="00442A35" w:rsidRDefault="00442A35" w:rsidP="00442A35">
      <w:p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>Greens theorem</w:t>
      </w:r>
    </w:p>
    <w:p w:rsidR="00442A35" w:rsidRDefault="00442A35" w:rsidP="00442A35">
      <w:pPr>
        <w:rPr>
          <w:rFonts w:eastAsiaTheme="minorEastAsia"/>
          <w:bCs/>
          <w:color w:val="000000" w:themeColor="text1"/>
          <w:lang w:val="en-US"/>
        </w:rPr>
      </w:pPr>
      <w:r w:rsidRPr="00442A35">
        <w:rPr>
          <w:rFonts w:eastAsiaTheme="minorEastAsia"/>
          <w:bCs/>
          <w:color w:val="000000" w:themeColor="text1"/>
          <w:lang w:val="en-US"/>
        </w:rPr>
        <w:drawing>
          <wp:inline distT="0" distB="0" distL="0" distR="0" wp14:anchorId="049521A0" wp14:editId="6837B9A9">
            <wp:extent cx="5232400" cy="9031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036" cy="90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35" w:rsidRPr="00442A35" w:rsidRDefault="00C12142" w:rsidP="00442A35">
      <w:pPr>
        <w:rPr>
          <w:rFonts w:eastAsiaTheme="minorEastAsia"/>
          <w:bCs/>
          <w:color w:val="000000" w:themeColor="text1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∇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v+ 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Τ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∂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v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 xml:space="preserve">  </m:t>
                  </m:r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</m:e>
          </m:nary>
        </m:oMath>
      </m:oMathPara>
    </w:p>
    <w:p w:rsidR="00442A35" w:rsidRDefault="00442A35" w:rsidP="00442A35">
      <w:pPr>
        <w:rPr>
          <w:rFonts w:eastAsiaTheme="minorEastAsia"/>
          <w:bCs/>
          <w:color w:val="000000" w:themeColor="text1"/>
          <w:lang w:val="en-US"/>
        </w:rPr>
      </w:pPr>
      <w:r>
        <w:rPr>
          <w:rFonts w:eastAsiaTheme="minorEastAsia"/>
          <w:bCs/>
          <w:color w:val="000000" w:themeColor="text1"/>
          <w:lang w:val="en-US"/>
        </w:rPr>
        <w:t xml:space="preserve">Sub in </w:t>
      </w:r>
    </w:p>
    <w:p w:rsidR="00442A35" w:rsidRPr="00D474CC" w:rsidRDefault="00C12142" w:rsidP="00442A35">
      <w:pPr>
        <w:rPr>
          <w:rFonts w:eastAsiaTheme="minorEastAsia"/>
          <w:b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u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 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w∙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:rsidR="00442A35" w:rsidRPr="00442A35" w:rsidRDefault="00442A35" w:rsidP="00442A35">
      <w:pPr>
        <w:rPr>
          <w:rFonts w:eastAsiaTheme="minorEastAsia"/>
          <w:bCs/>
          <w:color w:val="000000" w:themeColor="text1"/>
          <w:lang w:val="en-US"/>
        </w:rPr>
      </w:pPr>
    </w:p>
    <w:p w:rsidR="00A91906" w:rsidRPr="00442A35" w:rsidRDefault="00C12142" w:rsidP="00A91906">
      <w:pPr>
        <w:rPr>
          <w:rFonts w:eastAsiaTheme="minorEastAsia"/>
          <w:bCs/>
          <w:color w:val="000000" w:themeColor="text1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-f+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w∙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∇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v+ 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Τ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color w:val="000000" w:themeColor="text1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∂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 xml:space="preserve">v  </m:t>
                  </m:r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 </m:t>
              </m:r>
            </m:e>
          </m:nary>
        </m:oMath>
      </m:oMathPara>
    </w:p>
    <w:p w:rsidR="00442A35" w:rsidRPr="00A91906" w:rsidRDefault="00C12142" w:rsidP="00442A35">
      <w:pPr>
        <w:rPr>
          <w:rFonts w:eastAsiaTheme="minorEastAsia"/>
          <w:bCs/>
          <w:color w:val="000000" w:themeColor="text1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-f+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w∙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∇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v+ 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v=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</m:e>
          </m:nary>
        </m:oMath>
      </m:oMathPara>
    </w:p>
    <w:p w:rsidR="00A91906" w:rsidRPr="00A91906" w:rsidRDefault="00C12142" w:rsidP="00A91906">
      <w:pPr>
        <w:rPr>
          <w:rFonts w:eastAsiaTheme="minorEastAsia"/>
          <w:bCs/>
          <w:color w:val="000000" w:themeColor="text1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-fv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Ω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color w:val="000000" w:themeColor="text1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v</m:t>
                  </m:r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color w:val="000000" w:themeColor="text1"/>
              <w:lang w:val="en-US"/>
            </w:rPr>
            <m:t>D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v=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x </m:t>
              </m:r>
            </m:e>
          </m:nary>
        </m:oMath>
      </m:oMathPara>
    </w:p>
    <w:p w:rsidR="00A91906" w:rsidRPr="00442A35" w:rsidRDefault="00A91906" w:rsidP="00A91906">
      <w:pPr>
        <w:rPr>
          <w:rFonts w:eastAsiaTheme="minorEastAsia"/>
          <w:bCs/>
          <w:color w:val="000000" w:themeColor="text1"/>
          <w:lang w:val="en-US"/>
        </w:rPr>
      </w:pPr>
    </w:p>
    <w:p w:rsidR="00A91906" w:rsidRPr="00A91906" w:rsidRDefault="00C12142" w:rsidP="00A91906">
      <w:pPr>
        <w:rPr>
          <w:rFonts w:eastAsiaTheme="minorEastAsia"/>
          <w:bCs/>
          <w:color w:val="000000" w:themeColor="text1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u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  <w:color w:val="000000" w:themeColor="text1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</m:t>
              </m:r>
            </m:e>
          </m:nary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 </m:t>
          </m:r>
          <m:r>
            <w:rPr>
              <w:rFonts w:ascii="Cambria Math" w:eastAsia="Cambria Math" w:hAnsi="Cambria Math" w:cs="Cambria Math" w:hint="eastAsia"/>
              <w:color w:val="000000" w:themeColor="text1"/>
              <w:lang w:val="en-US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>D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bCs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Ω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u∙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v</m:t>
              </m:r>
            </m:e>
          </m:nary>
          <m:r>
            <w:rPr>
              <w:rFonts w:ascii="Cambria Math" w:eastAsiaTheme="minorEastAsia" w:hAnsi="Cambria Math"/>
              <w:color w:val="000000" w:themeColor="text1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 w:themeColor="text1"/>
              <w:lang w:val="en-US"/>
            </w:rPr>
            <m:t>∫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fv</m:t>
          </m:r>
        </m:oMath>
      </m:oMathPara>
    </w:p>
    <w:p w:rsidR="00A91906" w:rsidRPr="00442A35" w:rsidRDefault="00A91906" w:rsidP="00442A35">
      <w:pPr>
        <w:rPr>
          <w:rFonts w:eastAsiaTheme="minorEastAsia"/>
          <w:bCs/>
          <w:color w:val="000000" w:themeColor="text1"/>
          <w:lang w:val="en-US"/>
        </w:rPr>
      </w:pPr>
      <w:bookmarkStart w:id="0" w:name="_GoBack"/>
      <w:bookmarkEnd w:id="0"/>
    </w:p>
    <w:sectPr w:rsidR="00A91906" w:rsidRPr="00442A35" w:rsidSect="00231B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6E1A"/>
    <w:multiLevelType w:val="hybridMultilevel"/>
    <w:tmpl w:val="67967A4E"/>
    <w:lvl w:ilvl="0" w:tplc="658ACE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4E"/>
    <w:rsid w:val="000A072D"/>
    <w:rsid w:val="00104687"/>
    <w:rsid w:val="0013614E"/>
    <w:rsid w:val="00231BF0"/>
    <w:rsid w:val="004022EE"/>
    <w:rsid w:val="00442A35"/>
    <w:rsid w:val="004B1129"/>
    <w:rsid w:val="006820F0"/>
    <w:rsid w:val="00A554C8"/>
    <w:rsid w:val="00A91906"/>
    <w:rsid w:val="00C12142"/>
    <w:rsid w:val="00D474CC"/>
    <w:rsid w:val="00E8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FE9BAB"/>
  <w15:chartTrackingRefBased/>
  <w15:docId w15:val="{49CA56DA-E2CC-5A4E-8FF3-1825B22D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74CC"/>
    <w:rPr>
      <w:color w:val="808080"/>
    </w:rPr>
  </w:style>
  <w:style w:type="paragraph" w:styleId="ListParagraph">
    <w:name w:val="List Paragraph"/>
    <w:basedOn w:val="Normal"/>
    <w:uiPriority w:val="34"/>
    <w:qFormat/>
    <w:rsid w:val="00104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Muhammad</dc:creator>
  <cp:keywords/>
  <dc:description/>
  <cp:lastModifiedBy>Emir Muhammad</cp:lastModifiedBy>
  <cp:revision>8</cp:revision>
  <dcterms:created xsi:type="dcterms:W3CDTF">2019-08-19T07:56:00Z</dcterms:created>
  <dcterms:modified xsi:type="dcterms:W3CDTF">2019-08-19T08:22:00Z</dcterms:modified>
</cp:coreProperties>
</file>