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Nginx 反向代理配置</w:t>
      </w:r>
    </w:p>
    <w:p>
      <w:r>
        <w:t xml:space="preserve">本文档说明生产环境 Nginx 的核心配置项。</w:t>
      </w:r>
    </w:p>
    <w:p>
      <w:pPr>
        <w:pStyle w:val="Heading2"/>
      </w:pPr>
      <w:r>
        <w:t xml:space="preserve">upstream 配置</w:t>
      </w:r>
    </w:p>
    <w:p>
      <w:r>
        <w:t xml:space="preserve">upstream backend {
    server 10.0.1.10:8080 weight=3;
    server 10.0.1.11:8080 weight=2;
    keepalive 32;
}</w:t>
      </w:r>
    </w:p>
    <w:p>
      <w:pPr>
        <w:pStyle w:val="Heading2"/>
      </w:pPr>
      <w:r>
        <w:t xml:space="preserve">location 配置</w:t>
      </w:r>
    </w:p>
    <w:p>
      <w:r>
        <w:t xml:space="preserve">location /api/ {
    proxy_pass http://backend;
    proxy_set_header Host $host;
    proxy_connect_timeout 5s;
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2026-04-03T06:24:57.893Z</dcterms:created>
  <dcterms:modified xsi:type="dcterms:W3CDTF">2026-04-03T06:24:57.893Z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