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黑体" w:hAnsi="黑体" w:eastAsia="黑体"/>
          <w:b/>
          <w:sz w:val="52"/>
        </w:rPr>
        <w:t>香辣卤味管理系统</w:t>
      </w:r>
    </w:p>
    <w:p/>
    <w:p>
      <w:pPr>
        <w:jc w:val="center"/>
      </w:pPr>
      <w:r>
        <w:rPr>
          <w:rFonts w:ascii="黑体" w:hAnsi="黑体" w:eastAsia="黑体"/>
          <w:sz w:val="32"/>
        </w:rPr>
        <w:t>软件综合实训设计报告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t>摘要</w:t>
      </w:r>
    </w:p>
    <w:p>
      <w:r>
        <w:t>本系统是基于Web的香辣卤味管理系统，前端React+Ant Design，后端Spring Boot，数据库SQL Server 2022。实现商品浏览、购物车、下单、支付、优惠券、积分抵扣、四级会员制度等核心功能。</w:t>
      </w:r>
    </w:p>
    <w:p>
      <w:pPr>
        <w:pStyle w:val="Heading1"/>
      </w:pPr>
      <w:r>
        <w:t>1 绪论</w:t>
      </w:r>
    </w:p>
    <w:p>
      <w:pPr>
        <w:pStyle w:val="Heading2"/>
      </w:pPr>
      <w:r>
        <w:t>1.1 研究背景</w:t>
      </w:r>
    </w:p>
    <w:p>
      <w:r>
        <w:t>卤味食品市场超千亿，中小门店面临手工记账、库存混乱、顾客管理缺失等问题。信息化改造有重要现实意义。</w:t>
      </w:r>
    </w:p>
    <w:p>
      <w:pPr>
        <w:pStyle w:val="Heading2"/>
      </w:pPr>
      <w:r>
        <w:t>1.2 研究目的</w:t>
      </w:r>
    </w:p>
    <w:p>
      <w:r>
        <w:t>为卤味门店提供商品管理、订单处理、支付、优惠券、积分会员一站式平台。四级会员激励机制促进消费。</w:t>
      </w:r>
    </w:p>
    <w:p>
      <w:pPr>
        <w:pStyle w:val="Heading2"/>
      </w:pPr>
      <w:r>
        <w:t>1.3 技术选型</w:t>
      </w:r>
    </w:p>
    <w:p>
      <w:r>
        <w:t>前端:React18+TS+Ant Design5+Redux+Vite。后端:Spring Boot3.2+Security+JWT+MyBatis-Plus+Maven。数据库:SQL Server 2022 Express。</w:t>
      </w:r>
    </w:p>
    <w:p>
      <w:r>
        <w:br w:type="page"/>
      </w:r>
    </w:p>
    <w:p>
      <w:pPr>
        <w:pStyle w:val="Heading1"/>
      </w:pPr>
      <w:r>
        <w:t>2 可行性分析</w:t>
      </w:r>
    </w:p>
    <w:p>
      <w:pPr>
        <w:pStyle w:val="Heading2"/>
      </w:pPr>
      <w:r>
        <w:t>2.1 技术可行性</w:t>
      </w:r>
    </w:p>
    <w:p>
      <w:r>
        <w:t>成熟技术栈，SQL Server支持事务、行级锁、ROWVERSION。</w:t>
      </w:r>
    </w:p>
    <w:p>
      <w:pPr>
        <w:pStyle w:val="Heading2"/>
      </w:pPr>
      <w:r>
        <w:t>2.2 经济可行性</w:t>
      </w:r>
    </w:p>
    <w:p>
      <w:r>
        <w:t>全部免费开源工具。</w:t>
      </w:r>
    </w:p>
    <w:p>
      <w:pPr>
        <w:pStyle w:val="Heading2"/>
      </w:pPr>
      <w:r>
        <w:t>2.3 操作可行性</w:t>
      </w:r>
    </w:p>
    <w:p>
      <w:r>
        <w:t>B/S架构，浏览器访问，界面直观。</w:t>
      </w:r>
    </w:p>
    <w:p>
      <w:r>
        <w:br w:type="page"/>
      </w:r>
    </w:p>
    <w:p>
      <w:pPr>
        <w:pStyle w:val="Heading1"/>
      </w:pPr>
      <w:r>
        <w:t>3 需求分析</w:t>
      </w:r>
    </w:p>
    <w:p>
      <w:pPr>
        <w:pStyle w:val="Heading2"/>
      </w:pPr>
      <w:r>
        <w:t>3.1 功能需求</w:t>
      </w:r>
    </w:p>
    <w:p>
      <w:r>
        <w:t>顾客端：浏览商品、加购、下单、券+积分支付、评价。管理端：商品CRUD、分类、券模板。</w:t>
      </w:r>
    </w:p>
    <w:p>
      <w:r>
        <w:t>图3-1 顶层DFD</w:t>
      </w:r>
    </w:p>
    <w:p>
      <w:r>
        <w:drawing>
          <wp:inline xmlns:a="http://schemas.openxmlformats.org/drawingml/2006/main" xmlns:pic="http://schemas.openxmlformats.org/drawingml/2006/picture">
            <wp:extent cx="3200400" cy="1001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流图0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01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图3-2 0层DFD</w:t>
      </w:r>
    </w:p>
    <w:p>
      <w:r>
        <w:drawing>
          <wp:inline xmlns:a="http://schemas.openxmlformats.org/drawingml/2006/main" xmlns:pic="http://schemas.openxmlformats.org/drawingml/2006/picture">
            <wp:extent cx="3200400" cy="107171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数据流图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0717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图3-3 SFD系统流程图</w:t>
      </w:r>
    </w:p>
    <w:p>
      <w:r>
        <w:drawing>
          <wp:inline xmlns:a="http://schemas.openxmlformats.org/drawingml/2006/main" xmlns:pic="http://schemas.openxmlformats.org/drawingml/2006/picture">
            <wp:extent cx="3657600" cy="194513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FD_系统流程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4513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3.2 性能需求</w:t>
      </w:r>
    </w:p>
    <w:p>
      <w:r>
        <w:t>响应&lt;200ms，下单&lt;2s，20并发，DECIMAL(10,2)，DATETIME2(0)</w:t>
      </w:r>
    </w:p>
    <w:p>
      <w:pPr>
        <w:pStyle w:val="Heading2"/>
      </w:pPr>
      <w:r>
        <w:t>3.3 可靠性</w:t>
      </w:r>
    </w:p>
    <w:p>
      <w:r>
        <w:t>@Transactional+ROWVERSION+软删除+READ_COMMITTED_SNAPSHOT</w:t>
      </w:r>
    </w:p>
    <w:p>
      <w:pPr>
        <w:pStyle w:val="Heading2"/>
      </w:pPr>
      <w:r>
        <w:t>3.4 出错处理</w:t>
      </w:r>
    </w:p>
    <w:p>
      <w:r>
        <w:t>登录提示/库存回滚/Axios拦截/Token跳转/重复支付校验</w:t>
      </w:r>
    </w:p>
    <w:p>
      <w:r>
        <w:br w:type="page"/>
      </w:r>
    </w:p>
    <w:p>
      <w:pPr>
        <w:pStyle w:val="Heading1"/>
      </w:pPr>
      <w:r>
        <w:t>4 总体设计</w:t>
      </w:r>
    </w:p>
    <w:p>
      <w:pPr>
        <w:pStyle w:val="Heading2"/>
      </w:pPr>
      <w:r>
        <w:t>4.1 系统架构</w:t>
      </w:r>
    </w:p>
    <w:p>
      <w:r>
        <w:t>三层B/S：React→Spring Boot→SQL Server。HTTP/JSON+JWT无状态认证。</w:t>
      </w:r>
    </w:p>
    <w:p>
      <w:r>
        <w:t>图4-1 架构图</w:t>
      </w:r>
    </w:p>
    <w:p>
      <w:r>
        <w:drawing>
          <wp:inline xmlns:a="http://schemas.openxmlformats.org/drawingml/2006/main" xmlns:pic="http://schemas.openxmlformats.org/drawingml/2006/picture">
            <wp:extent cx="3657600" cy="287029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系统架构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28702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图4-2 功能结构图</w:t>
      </w:r>
    </w:p>
    <w:p>
      <w:r>
        <w:drawing>
          <wp:inline xmlns:a="http://schemas.openxmlformats.org/drawingml/2006/main" xmlns:pic="http://schemas.openxmlformats.org/drawingml/2006/picture">
            <wp:extent cx="3657600" cy="112023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功能结构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120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4.2 数据库设计</w:t>
      </w:r>
    </w:p>
    <w:p>
      <w:pPr>
        <w:pStyle w:val="Heading3"/>
      </w:pPr>
      <w:r>
        <w:t>4.2.1 E-R图</w:t>
      </w:r>
    </w:p>
    <w:p>
      <w:r>
        <w:t>图4-3 ER图</w:t>
      </w:r>
    </w:p>
    <w:p>
      <w:r>
        <w:drawing>
          <wp:inline xmlns:a="http://schemas.openxmlformats.org/drawingml/2006/main" xmlns:pic="http://schemas.openxmlformats.org/drawingml/2006/picture">
            <wp:extent cx="3657600" cy="199428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99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4.2.2 逻辑结构</w:t>
      </w:r>
    </w:p>
    <w:p>
      <w:r>
        <w:t>用户表：用户编号(BIGINT PK)、用户名(NVARCHAR64 UQ)、密码哈希、邮箱、手机、角色(admin/staff/customer)、余额(DECIMAL)、积分(INT)、会员等级(bronze/silver/gold/platinum)、软删除、时间戳、ROWVERSION</w:t>
      </w:r>
    </w:p>
    <w:p>
      <w:r>
        <w:t>分类表：分类编号(INT PK)、名称、描述、排序权重、图片、软删除、时间戳、ROWVERSION</w:t>
      </w:r>
    </w:p>
    <w:p>
      <w:r>
        <w:t>商品表：商品编号(BIGINT PK)、名称、售价(DECIMAL 10,2)、成本价、库存、单位、图片、分类ID(FK)、辣度(1-5)、上架标记、软删除、时间戳、ROWVERSION</w:t>
      </w:r>
    </w:p>
    <w:p>
      <w:r>
        <w:t>订单表：订单编号(BIGINT PK)、用户ID(FK)、订单号(UQ)、总额、优惠、抵扣积分、实付、状态(7种)、备注、软删除、时间戳、ROWVERSION</w:t>
      </w:r>
    </w:p>
    <w:p>
      <w:r>
        <w:t>其余6张表(明细/支付/评价/积分/券模板/用户券)详见SQL脚本。</w:t>
      </w:r>
    </w:p>
    <w:p>
      <w:r>
        <w:br w:type="page"/>
      </w:r>
    </w:p>
    <w:p>
      <w:pPr>
        <w:pStyle w:val="Heading1"/>
      </w:pPr>
      <w:r>
        <w:t>5 详细设计</w:t>
      </w:r>
    </w:p>
    <w:p>
      <w:pPr>
        <w:pStyle w:val="Heading2"/>
      </w:pPr>
      <w:r>
        <w:t>5.1 系统结构</w:t>
      </w:r>
    </w:p>
    <w:p>
      <w:r>
        <w:t>五层：运行环境→持久层(MyBatis-Plus)→业务层(Spring+@Transactional)→控制层(REST)→表现层(React+Redux)</w:t>
      </w:r>
    </w:p>
    <w:p>
      <w:pPr>
        <w:pStyle w:val="Heading2"/>
      </w:pPr>
      <w:r>
        <w:t>5.2 用户认证模块</w:t>
      </w:r>
    </w:p>
    <w:p>
      <w:r>
        <w:t>图5-1 用户认证流程图</w:t>
      </w:r>
    </w:p>
    <w:p>
      <w:r>
        <w:drawing>
          <wp:inline xmlns:a="http://schemas.openxmlformats.org/drawingml/2006/main" xmlns:pic="http://schemas.openxmlformats.org/drawingml/2006/picture">
            <wp:extent cx="2286000" cy="32878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1_auth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32878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JWT无状态认证。BCrypt加密，24h有效期，401跳转。</w:t>
      </w:r>
    </w:p>
    <w:p>
      <w:pPr>
        <w:pStyle w:val="Heading2"/>
      </w:pPr>
      <w:r>
        <w:t>5.3 商品模块</w:t>
      </w:r>
    </w:p>
    <w:p>
      <w:r>
        <w:t>图5-2 商品模块流程图</w:t>
      </w:r>
    </w:p>
    <w:p>
      <w:r>
        <w:drawing>
          <wp:inline xmlns:a="http://schemas.openxmlformats.org/drawingml/2006/main" xmlns:pic="http://schemas.openxmlformats.org/drawingml/2006/picture">
            <wp:extent cx="2286000" cy="4633369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2_produ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6333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顾客端：分类筛选+卡片+详情+加购。管理端：表格CRUD。</w:t>
      </w:r>
    </w:p>
    <w:p>
      <w:pPr>
        <w:pStyle w:val="Heading2"/>
      </w:pPr>
      <w:r>
        <w:t>5.4 订单与支付模块</w:t>
      </w:r>
    </w:p>
    <w:p>
      <w:r>
        <w:t>图5-3 订单支付流程图</w:t>
      </w:r>
    </w:p>
    <w:p>
      <w:r>
        <w:drawing>
          <wp:inline xmlns:a="http://schemas.openxmlformats.org/drawingml/2006/main" xmlns:pic="http://schemas.openxmlformats.org/drawingml/2006/picture">
            <wp:extent cx="2286000" cy="187325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3_orde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873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8步事务：行锁扣减→券锁定→积分扣减(铜100/银90/金80/铂70分=1元)→实付→订单号→订单+明细+支付→送积分+升级检查。支付：校验归属→防重复。</w:t>
      </w:r>
    </w:p>
    <w:p>
      <w:pPr>
        <w:pStyle w:val="Heading2"/>
      </w:pPr>
      <w:r>
        <w:t>5.5 积分与会员模块</w:t>
      </w:r>
    </w:p>
    <w:p>
      <w:r>
        <w:t>图5-4 积分会员流程图</w:t>
      </w:r>
    </w:p>
    <w:p>
      <w:r>
        <w:drawing>
          <wp:inline xmlns:a="http://schemas.openxmlformats.org/drawingml/2006/main" xmlns:pic="http://schemas.openxmlformats.org/drawingml/2006/picture">
            <wp:extent cx="2286000" cy="408450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5_poin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40845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四级会员：铜100/银90/金80/铂70分=1元。消费1%送积分，自动升级。</w:t>
      </w:r>
    </w:p>
    <w:p>
      <w:pPr>
        <w:pStyle w:val="Heading2"/>
      </w:pPr>
      <w:r>
        <w:t>5.6 后台管理模块</w:t>
      </w:r>
    </w:p>
    <w:p>
      <w:r>
        <w:t>图5-5 后台管理流程图</w:t>
      </w:r>
    </w:p>
    <w:p>
      <w:r>
        <w:drawing>
          <wp:inline xmlns:a="http://schemas.openxmlformats.org/drawingml/2006/main" xmlns:pic="http://schemas.openxmlformats.org/drawingml/2006/picture">
            <wp:extent cx="2286000" cy="2521449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_06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5214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5.7 实体属性图</w:t>
      </w:r>
    </w:p>
    <w:p>
      <w:pPr>
        <w:pStyle w:val="Heading3"/>
      </w:pPr>
      <w:r>
        <w:t>5.7.1 用户实体属性图</w:t>
      </w:r>
    </w:p>
    <w:p>
      <w:r>
        <w:t>图5-6 用户实体属性图</w:t>
      </w:r>
    </w:p>
    <w:p>
      <w:r>
        <w:drawing>
          <wp:inline xmlns:a="http://schemas.openxmlformats.org/drawingml/2006/main" xmlns:pic="http://schemas.openxmlformats.org/drawingml/2006/picture">
            <wp:extent cx="3200400" cy="301855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体属性_用户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0185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5.7.2 商品实体属性图</w:t>
      </w:r>
    </w:p>
    <w:p>
      <w:r>
        <w:t>图5-7 商品实体属性图</w:t>
      </w:r>
    </w:p>
    <w:p>
      <w:r>
        <w:drawing>
          <wp:inline xmlns:a="http://schemas.openxmlformats.org/drawingml/2006/main" xmlns:pic="http://schemas.openxmlformats.org/drawingml/2006/picture">
            <wp:extent cx="3200400" cy="51324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体属性_商品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5132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6 测试</w:t>
      </w:r>
    </w:p>
    <w:p>
      <w:pPr>
        <w:pStyle w:val="Heading2"/>
      </w:pPr>
      <w:r>
        <w:t>6.1 测试方法</w:t>
      </w:r>
    </w:p>
    <w:p>
      <w:r>
        <w:t>黑盒：等价类划分。白盒：基本路径覆盖(placeOrder)。</w:t>
      </w:r>
    </w:p>
    <w:p>
      <w:pPr>
        <w:pStyle w:val="Heading2"/>
      </w:pPr>
      <w:r>
        <w:t>6.2 黑盒用例</w:t>
      </w:r>
    </w:p>
    <w:p>
      <w:r>
        <w:t>登录7用例/下单7用例/支付4用例/积分7用例。覆盖正常+异常+边界。全部通过。</w:t>
      </w:r>
    </w:p>
    <w:p>
      <w:pPr>
        <w:pStyle w:val="Heading2"/>
      </w:pPr>
      <w:r>
        <w:t>6.3 白盒测试</w:t>
      </w:r>
    </w:p>
    <w:p>
      <w:r>
        <w:t>控制流12节点，4判定，V(G)=5。5条路径P1-P5全覆盖。</w:t>
      </w:r>
    </w:p>
    <w:p>
      <w:pPr>
        <w:pStyle w:val="Heading2"/>
      </w:pPr>
      <w:r>
        <w:t>6.4 结果</w:t>
      </w:r>
    </w:p>
    <w:p>
      <w:r>
        <w:t>29项全部通过(100%)。修复：BigDecimal非终止小数、汇率方向、支付重复保护。</w:t>
      </w:r>
    </w:p>
    <w:p>
      <w:r>
        <w:br w:type="page"/>
      </w:r>
    </w:p>
    <w:p>
      <w:pPr>
        <w:pStyle w:val="Heading1"/>
      </w:pPr>
      <w:r>
        <w:t>7 总结与展望</w:t>
      </w:r>
    </w:p>
    <w:p>
      <w:pPr>
        <w:pStyle w:val="Heading2"/>
      </w:pPr>
      <w:r>
        <w:t>7.1 总结</w:t>
      </w:r>
    </w:p>
    <w:p>
      <w:r>
        <w:t>JWT认证+商品CRUD+8步下单事务+四级会员汇率+模拟支付。创新：会员激励机制、事务原子执行、前后端分离。</w:t>
      </w:r>
    </w:p>
    <w:p>
      <w:pPr>
        <w:pStyle w:val="Heading2"/>
      </w:pPr>
      <w:r>
        <w:t>7.2 展望</w:t>
      </w:r>
    </w:p>
    <w:p>
      <w:r>
        <w:t>真实支付、数据大屏、消息推送、外卖配送、移动APP、智能推荐。</w:t>
      </w:r>
    </w:p>
    <w:p>
      <w:r>
        <w:br w:type="page"/>
      </w:r>
    </w:p>
    <w:p>
      <w:pPr>
        <w:pStyle w:val="Heading1"/>
      </w:pPr>
      <w:r>
        <w:t>参考文献</w:t>
      </w:r>
    </w:p>
    <w:p>
      <w:r>
        <w:t>[1]王珊.数据库系统概论(第5版)[M].高教社,2014.</w:t>
      </w:r>
    </w:p>
    <w:p>
      <w:r>
        <w:t>[2]张海藩.软件工程导论(第6版)[M].清华社,2013.</w:t>
      </w:r>
    </w:p>
    <w:p>
      <w:r>
        <w:t>[3]Craig Walls.Spring Boot in Action[M].Manning,2016.</w:t>
      </w:r>
    </w:p>
    <w:p>
      <w:r>
        <w:t>[4]Microsoft.SQL Server 2022 Docs[EB/OL].2022.</w:t>
      </w:r>
    </w:p>
    <w:p>
      <w:r>
        <w:t>[5]Ant Design Documentation[EB/OL].2024.</w:t>
      </w:r>
    </w:p>
    <w:p>
      <w:r>
        <w:t>[6]Spring Security Reference[EB/OL].2024.</w:t>
      </w:r>
    </w:p>
    <w:p>
      <w:r>
        <w:t>[7]MyBatis-Plus Docs[EB/OL].2024.</w:t>
      </w:r>
    </w:p>
    <w:p>
      <w:r>
        <w:t>[8]JWT RFC 7519[EB/OL].IETF,2015.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