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附件3-</w:t>
      </w:r>
      <w:r>
        <w:rPr>
          <w:sz w:val="24"/>
          <w:szCs w:val="30"/>
        </w:rPr>
        <w:t>2</w:t>
      </w:r>
      <w:r>
        <w:rPr>
          <w:rFonts w:hint="eastAsia"/>
          <w:sz w:val="24"/>
          <w:szCs w:val="30"/>
        </w:rPr>
        <w:t>：</w:t>
      </w:r>
    </w:p>
    <w:p>
      <w:pPr>
        <w:ind w:firstLine="0" w:firstLineChars="0"/>
        <w:jc w:val="center"/>
        <w:rPr>
          <w:rFonts w:ascii="方正小标宋简体" w:hAnsi="微软雅黑" w:eastAsia="方正小标宋简体"/>
          <w:sz w:val="36"/>
          <w:szCs w:val="36"/>
        </w:rPr>
      </w:pPr>
      <w:bookmarkStart w:id="0" w:name="_Toc479323114"/>
      <w:bookmarkStart w:id="1" w:name="_Toc479323335"/>
      <w:r>
        <w:rPr>
          <w:rFonts w:hint="eastAsia" w:ascii="方正小标宋简体" w:hAnsi="微软雅黑" w:eastAsia="方正小标宋简体"/>
          <w:sz w:val="36"/>
          <w:szCs w:val="36"/>
        </w:rPr>
        <w:t>第</w:t>
      </w:r>
      <w:r>
        <w:rPr>
          <w:rFonts w:ascii="方正小标宋简体" w:hAnsi="微软雅黑" w:eastAsia="方正小标宋简体"/>
          <w:sz w:val="36"/>
          <w:szCs w:val="36"/>
        </w:rPr>
        <w:t>六届</w:t>
      </w:r>
      <w:r>
        <w:rPr>
          <w:rFonts w:hint="eastAsia" w:ascii="方正小标宋简体" w:hAnsi="微软雅黑" w:eastAsia="方正小标宋简体"/>
          <w:sz w:val="36"/>
          <w:szCs w:val="36"/>
        </w:rPr>
        <w:t>中国研究生智慧城市技术与创意设计大赛</w:t>
      </w:r>
      <w:bookmarkEnd w:id="0"/>
      <w:bookmarkEnd w:id="1"/>
      <w:bookmarkStart w:id="2" w:name="_Toc479323115"/>
      <w:bookmarkStart w:id="3" w:name="_Toc479323336"/>
    </w:p>
    <w:p>
      <w:pPr>
        <w:pStyle w:val="4"/>
        <w:ind w:left="320" w:leftChars="100" w:right="320" w:rightChars="100" w:firstLine="0" w:firstLineChars="0"/>
      </w:pPr>
      <w:bookmarkStart w:id="4" w:name="_Toc7210847"/>
      <w:bookmarkStart w:id="5" w:name="_Toc7211037"/>
      <w:r>
        <w:rPr>
          <w:rFonts w:hint="eastAsia"/>
        </w:rPr>
        <w:t>创意设计赛</w:t>
      </w:r>
      <w:bookmarkEnd w:id="2"/>
      <w:bookmarkEnd w:id="3"/>
      <w:bookmarkStart w:id="6" w:name="_Toc479323116"/>
      <w:bookmarkStart w:id="7" w:name="_Toc479323337"/>
      <w:r>
        <w:rPr>
          <w:rFonts w:hint="eastAsia"/>
        </w:rPr>
        <w:t>项目说明书</w:t>
      </w:r>
      <w:bookmarkEnd w:id="4"/>
      <w:bookmarkEnd w:id="5"/>
      <w:bookmarkEnd w:id="6"/>
      <w:bookmarkEnd w:id="7"/>
    </w:p>
    <w:p>
      <w:pPr>
        <w:ind w:firstLine="0" w:firstLineChars="0"/>
        <w:jc w:val="center"/>
        <w:rPr>
          <w:rFonts w:hAnsi="仿宋"/>
          <w:sz w:val="28"/>
          <w:szCs w:val="36"/>
        </w:rPr>
      </w:pPr>
      <w:r>
        <w:rPr>
          <w:rFonts w:hint="eastAsia" w:hAnsi="仿宋"/>
          <w:sz w:val="28"/>
          <w:szCs w:val="36"/>
        </w:rPr>
        <w:t>(模板)</w:t>
      </w:r>
    </w:p>
    <w:p>
      <w:pPr>
        <w:snapToGrid w:val="0"/>
        <w:ind w:firstLine="0" w:firstLineChars="0"/>
        <w:rPr>
          <w:rFonts w:ascii="微软雅黑" w:hAnsi="微软雅黑" w:eastAsia="微软雅黑"/>
          <w:b/>
          <w:sz w:val="28"/>
          <w:szCs w:val="28"/>
        </w:rPr>
      </w:pPr>
    </w:p>
    <w:p>
      <w:pPr>
        <w:snapToGrid w:val="0"/>
        <w:ind w:firstLine="0" w:firstLineChars="0"/>
        <w:rPr>
          <w:rFonts w:ascii="楷体_GB2312" w:hAnsi="宋体" w:eastAsia="楷体_GB2312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一、立项依据</w:t>
      </w:r>
      <w:r>
        <w:rPr>
          <w:rFonts w:hint="eastAsia" w:hAnsi="仿宋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2000</w:t>
      </w:r>
      <w:r>
        <w:rPr>
          <w:rFonts w:hint="eastAsia" w:hAnsi="仿宋"/>
          <w:sz w:val="28"/>
          <w:szCs w:val="28"/>
        </w:rPr>
        <w:t>字）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int="eastAsia" w:hAnsi="仿宋"/>
          <w:sz w:val="28"/>
          <w:szCs w:val="28"/>
        </w:rPr>
        <w:t>（意义、国内外研究</w:t>
      </w:r>
      <w:r>
        <w:rPr>
          <w:rFonts w:hAnsi="仿宋"/>
          <w:sz w:val="28"/>
          <w:szCs w:val="28"/>
        </w:rPr>
        <w:t>/</w:t>
      </w:r>
      <w:r>
        <w:rPr>
          <w:rFonts w:hint="eastAsia" w:hAnsi="仿宋"/>
          <w:sz w:val="28"/>
          <w:szCs w:val="28"/>
        </w:rPr>
        <w:t>市场现状及发展动态分析）</w:t>
      </w:r>
    </w:p>
    <w:p>
      <w:pPr>
        <w:snapToGrid w:val="0"/>
        <w:ind w:firstLine="0" w:firstLineChars="0"/>
        <w:rPr>
          <w:rFonts w:ascii="楷体_GB2312" w:hAnsi="宋体" w:eastAsia="楷体_GB2312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二、项目创新内容</w:t>
      </w:r>
      <w:r>
        <w:rPr>
          <w:rFonts w:hint="eastAsia" w:hAnsi="仿宋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3000</w:t>
      </w:r>
      <w:r>
        <w:rPr>
          <w:rFonts w:hint="eastAsia" w:hAnsi="仿宋"/>
          <w:sz w:val="28"/>
          <w:szCs w:val="28"/>
        </w:rPr>
        <w:t>字）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1．</w:t>
      </w:r>
      <w:r>
        <w:rPr>
          <w:rFonts w:hint="eastAsia" w:hAnsi="仿宋"/>
          <w:sz w:val="28"/>
          <w:szCs w:val="28"/>
        </w:rPr>
        <w:t>项目总体思路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2．</w:t>
      </w:r>
      <w:r>
        <w:rPr>
          <w:rFonts w:hint="eastAsia" w:hAnsi="仿宋"/>
          <w:sz w:val="28"/>
          <w:szCs w:val="28"/>
        </w:rPr>
        <w:t>可行性分析：项目的技术或实施可行性。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3．</w:t>
      </w:r>
      <w:r>
        <w:rPr>
          <w:rFonts w:hint="eastAsia" w:hAnsi="仿宋"/>
          <w:sz w:val="28"/>
          <w:szCs w:val="28"/>
        </w:rPr>
        <w:t>本项目的特色与创新之处。</w:t>
      </w:r>
      <w:r>
        <w:rPr>
          <w:rFonts w:hAnsi="仿宋"/>
          <w:sz w:val="28"/>
          <w:szCs w:val="28"/>
        </w:rPr>
        <w:t xml:space="preserve"> </w:t>
      </w:r>
    </w:p>
    <w:p>
      <w:pPr>
        <w:snapToGrid w:val="0"/>
        <w:ind w:firstLine="0" w:firstLineChars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三、实施方案</w:t>
      </w:r>
      <w:r>
        <w:rPr>
          <w:rFonts w:hint="eastAsia" w:hAnsi="仿宋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3000</w:t>
      </w:r>
      <w:r>
        <w:rPr>
          <w:rFonts w:hint="eastAsia" w:hAnsi="仿宋"/>
          <w:sz w:val="28"/>
          <w:szCs w:val="28"/>
        </w:rPr>
        <w:t>字）</w:t>
      </w:r>
    </w:p>
    <w:p>
      <w:pPr>
        <w:snapToGrid w:val="0"/>
        <w:ind w:firstLine="560"/>
        <w:rPr>
          <w:rFonts w:hAnsi="仿宋"/>
          <w:sz w:val="28"/>
          <w:szCs w:val="28"/>
        </w:rPr>
      </w:pPr>
      <w:r>
        <w:rPr>
          <w:rFonts w:hint="eastAsia" w:hAnsi="仿宋"/>
          <w:sz w:val="28"/>
          <w:szCs w:val="28"/>
        </w:rPr>
        <w:t>包括有关方法、技术路线、实验手段、关键技术、方案实现形态等说明</w:t>
      </w:r>
    </w:p>
    <w:p>
      <w:pPr>
        <w:snapToGrid w:val="0"/>
        <w:ind w:firstLine="0" w:firstLine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四、应用前景分析</w:t>
      </w:r>
      <w:r>
        <w:rPr>
          <w:rFonts w:hint="eastAsia" w:hAnsi="仿宋"/>
          <w:sz w:val="28"/>
          <w:szCs w:val="28"/>
        </w:rPr>
        <w:t>（不超过</w:t>
      </w:r>
      <w:r>
        <w:rPr>
          <w:rFonts w:hAnsi="仿宋"/>
          <w:sz w:val="28"/>
          <w:szCs w:val="28"/>
        </w:rPr>
        <w:t>500</w:t>
      </w:r>
      <w:r>
        <w:rPr>
          <w:rFonts w:hint="eastAsia" w:hAnsi="仿宋"/>
          <w:sz w:val="28"/>
          <w:szCs w:val="28"/>
        </w:rPr>
        <w:t>字）</w:t>
      </w:r>
    </w:p>
    <w:p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591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仿宋" w:eastAsia="仿宋" w:hAnsiTheme="minorHAnsi" w:cstheme="minorBidi"/>
      <w:kern w:val="2"/>
      <w:sz w:val="32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指南标题"/>
    <w:basedOn w:val="1"/>
    <w:qFormat/>
    <w:uiPriority w:val="0"/>
    <w:pPr>
      <w:ind w:left="1433" w:hanging="1433" w:hangingChars="398"/>
      <w:jc w:val="center"/>
    </w:pPr>
    <w:rPr>
      <w:rFonts w:ascii="方正小标宋简体" w:hAnsi="微软雅黑" w:eastAsia="方正小标宋简体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JC</cp:lastModifiedBy>
  <dcterms:modified xsi:type="dcterms:W3CDTF">2019-04-27T11:33:50Z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