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54571">
      <w:pPr>
        <w:pStyle w:val="3"/>
        <w:spacing w:before="0" w:line="360" w:lineRule="auto"/>
        <w:jc w:val="center"/>
        <w:rPr>
          <w:rFonts w:ascii="宋体" w:hAnsi="宋体" w:eastAsia="宋体"/>
          <w:sz w:val="32"/>
          <w:lang w:eastAsia="zh-CN"/>
        </w:rPr>
      </w:pPr>
      <w:r>
        <w:rPr>
          <w:rFonts w:ascii="宋体" w:hAnsi="宋体" w:eastAsia="宋体"/>
          <w:sz w:val="32"/>
          <w:lang w:eastAsia="zh-CN"/>
        </w:rPr>
        <w:t>火灾隐患非现场监管智能巡检装备研究与示范应用项目</w:t>
      </w:r>
    </w:p>
    <w:p w14:paraId="3945DE89">
      <w:pPr>
        <w:pStyle w:val="4"/>
        <w:spacing w:before="0" w:line="360" w:lineRule="auto"/>
        <w:jc w:val="center"/>
        <w:rPr>
          <w:rFonts w:ascii="宋体" w:hAnsi="宋体" w:eastAsia="宋体"/>
          <w:color w:val="376092" w:themeColor="accent1" w:themeShade="BF"/>
          <w:sz w:val="32"/>
          <w:szCs w:val="28"/>
          <w:lang w:eastAsia="zh-CN"/>
        </w:rPr>
      </w:pPr>
      <w:r>
        <w:rPr>
          <w:rFonts w:ascii="宋体" w:hAnsi="宋体" w:eastAsia="宋体"/>
          <w:color w:val="376092" w:themeColor="accent1" w:themeShade="BF"/>
          <w:sz w:val="32"/>
          <w:szCs w:val="28"/>
          <w:lang w:eastAsia="zh-CN"/>
        </w:rPr>
        <w:t>北京交通大学课题进展情况汇报</w:t>
      </w:r>
    </w:p>
    <w:p w14:paraId="19B39A1D">
      <w:pPr>
        <w:spacing w:after="0" w:line="360" w:lineRule="auto"/>
        <w:jc w:val="center"/>
        <w:rPr>
          <w:rFonts w:hint="eastAsia" w:eastAsia="宋体"/>
          <w:lang w:eastAsia="zh-CN"/>
        </w:rPr>
      </w:pPr>
      <w:r>
        <w:rPr>
          <w:rFonts w:ascii="宋体" w:hAnsi="宋体" w:eastAsia="宋体"/>
          <w:b/>
          <w:sz w:val="24"/>
          <w:lang w:eastAsia="zh-CN"/>
        </w:rPr>
        <w:t>汇报单位：北京交通大学课题组</w:t>
      </w:r>
      <w:r>
        <w:rPr>
          <w:rFonts w:ascii="宋体" w:hAnsi="宋体" w:eastAsia="宋体"/>
          <w:b/>
          <w:sz w:val="24"/>
          <w:lang w:eastAsia="zh-CN"/>
        </w:rPr>
        <w:br w:type="textWrapping"/>
      </w:r>
      <w:r>
        <w:rPr>
          <w:rFonts w:ascii="宋体" w:hAnsi="宋体" w:eastAsia="宋体"/>
          <w:b/>
          <w:sz w:val="24"/>
          <w:lang w:eastAsia="zh-CN"/>
        </w:rPr>
        <w:t>汇报日期：202</w:t>
      </w:r>
      <w:r>
        <w:rPr>
          <w:rFonts w:hint="eastAsia" w:ascii="宋体" w:hAnsi="宋体" w:eastAsia="宋体"/>
          <w:b/>
          <w:sz w:val="24"/>
          <w:lang w:eastAsia="zh-CN"/>
        </w:rPr>
        <w:t>6</w:t>
      </w:r>
      <w:r>
        <w:rPr>
          <w:rFonts w:ascii="宋体" w:hAnsi="宋体" w:eastAsia="宋体"/>
          <w:b/>
          <w:sz w:val="24"/>
          <w:lang w:eastAsia="zh-CN"/>
        </w:rPr>
        <w:t>年5月15日</w:t>
      </w:r>
    </w:p>
    <w:p w14:paraId="1A2C09A1">
      <w:pPr>
        <w:pStyle w:val="3"/>
        <w:spacing w:before="0" w:line="360" w:lineRule="auto"/>
        <w:rPr>
          <w:lang w:eastAsia="zh-CN"/>
        </w:rPr>
      </w:pPr>
      <w:r>
        <w:rPr>
          <w:rFonts w:ascii="宋体" w:hAnsi="宋体" w:eastAsia="宋体"/>
          <w:lang w:eastAsia="zh-CN"/>
        </w:rPr>
        <w:t>一、项目总体概述</w:t>
      </w:r>
    </w:p>
    <w:p w14:paraId="267A16B8">
      <w:pPr>
        <w:spacing w:after="0" w:line="360" w:lineRule="auto"/>
        <w:ind w:firstLine="420" w:firstLineChars="200"/>
        <w:rPr>
          <w:lang w:eastAsia="zh-CN"/>
        </w:rPr>
      </w:pPr>
      <w:r>
        <w:rPr>
          <w:rFonts w:ascii="宋体" w:hAnsi="宋体" w:eastAsia="宋体"/>
          <w:sz w:val="21"/>
          <w:lang w:eastAsia="zh-CN"/>
        </w:rPr>
        <w:t>北京交通大学团队始终将"火灾隐患非现场监管智能巡检装备研究与示范应用"项目置于研发工作的核心位置。自项目军令状正式签署以来，课题组迅速响应，组建了涵盖机械设计、嵌入式开发、多传感器融合算法及自动控制的专业技术与项目管理团队。</w:t>
      </w:r>
    </w:p>
    <w:p w14:paraId="34C65148">
      <w:pPr>
        <w:spacing w:after="0" w:line="360" w:lineRule="auto"/>
        <w:ind w:firstLine="420" w:firstLineChars="200"/>
        <w:rPr>
          <w:rFonts w:ascii="宋体" w:hAnsi="宋体" w:eastAsia="宋体"/>
          <w:sz w:val="21"/>
          <w:lang w:eastAsia="zh-CN"/>
        </w:rPr>
      </w:pPr>
      <w:r>
        <w:rPr>
          <w:rFonts w:ascii="宋体" w:hAnsi="宋体" w:eastAsia="宋体"/>
          <w:sz w:val="21"/>
          <w:lang w:eastAsia="zh-CN"/>
        </w:rPr>
        <w:t>本阶段，团队紧密围绕项目牵头单位的统筹规划，严格对标军令状中规定的各项技术指标与里程碑节点，实行周例会、月复盘的研发管理制度。在与牵头单位的积极沟通下，团队解决了多项技术路线上的关键分歧，确保了研发方向的准确性。截至目前，</w:t>
      </w:r>
      <w:r>
        <w:rPr>
          <w:rFonts w:ascii="宋体" w:hAnsi="宋体" w:eastAsia="宋体"/>
          <w:color w:val="auto"/>
          <w:sz w:val="21"/>
          <w:highlight w:val="yellow"/>
          <w:lang w:eastAsia="zh-CN"/>
        </w:rPr>
        <w:t>项目已顺利完成硬件平台的第三代迭代、核心SLAM算法的重构与优化、导航与控制系统的集成联调，为后续的实地消防巡检示范应用奠定了坚实基础。</w:t>
      </w:r>
    </w:p>
    <w:p w14:paraId="37291917">
      <w:pPr>
        <w:pStyle w:val="4"/>
        <w:spacing w:before="0" w:line="360" w:lineRule="auto"/>
        <w:rPr>
          <w:lang w:eastAsia="zh-CN"/>
        </w:rPr>
      </w:pPr>
      <w:r>
        <w:rPr>
          <w:rFonts w:ascii="宋体" w:hAnsi="宋体" w:eastAsia="宋体"/>
          <w:sz w:val="28"/>
          <w:lang w:eastAsia="zh-CN"/>
        </w:rPr>
        <w:t>二、硬件系统集成与搭建</w:t>
      </w:r>
    </w:p>
    <w:p w14:paraId="3EB44A57">
      <w:pPr>
        <w:spacing w:after="0" w:line="360" w:lineRule="auto"/>
        <w:ind w:firstLine="420" w:firstLineChars="200"/>
        <w:rPr>
          <w:rFonts w:ascii="宋体" w:hAnsi="宋体" w:eastAsia="宋体"/>
          <w:sz w:val="21"/>
          <w:lang w:eastAsia="zh-CN"/>
        </w:rPr>
      </w:pPr>
      <w:r>
        <w:rPr>
          <w:rFonts w:ascii="宋体" w:hAnsi="宋体" w:eastAsia="宋体"/>
          <w:sz w:val="21"/>
          <w:lang w:eastAsia="zh-CN"/>
        </w:rPr>
        <w:t>针对最新的第三版系统设计方案，团队完成了</w:t>
      </w:r>
      <w:r>
        <w:rPr>
          <w:rFonts w:ascii="宋体" w:hAnsi="宋体" w:eastAsia="宋体"/>
          <w:color w:val="auto"/>
          <w:sz w:val="21"/>
          <w:highlight w:val="yellow"/>
          <w:lang w:eastAsia="zh-CN"/>
        </w:rPr>
        <w:t>多模态传感器</w:t>
      </w:r>
      <w:r>
        <w:rPr>
          <w:rFonts w:ascii="宋体" w:hAnsi="宋体" w:eastAsia="宋体"/>
          <w:sz w:val="21"/>
          <w:lang w:eastAsia="zh-CN"/>
        </w:rPr>
        <w:t>的选型和采购工作。具体包括</w:t>
      </w:r>
      <w:r>
        <w:rPr>
          <w:rFonts w:ascii="宋体" w:hAnsi="宋体" w:eastAsia="宋体"/>
          <w:color w:val="auto"/>
          <w:sz w:val="21"/>
          <w:highlight w:val="yellow"/>
          <w:lang w:eastAsia="zh-CN"/>
        </w:rPr>
        <w:t>高精度16线激光雷达、工业级RGB-D相机、高亮度便携显示器</w:t>
      </w:r>
      <w:r>
        <w:rPr>
          <w:rFonts w:ascii="宋体" w:hAnsi="宋体" w:eastAsia="宋体"/>
          <w:sz w:val="21"/>
          <w:lang w:eastAsia="zh-CN"/>
        </w:rPr>
        <w:t>等关键部件。</w:t>
      </w:r>
    </w:p>
    <w:p w14:paraId="2594D448">
      <w:pPr>
        <w:spacing w:after="0" w:line="360" w:lineRule="auto"/>
        <w:ind w:firstLine="420" w:firstLineChars="200"/>
        <w:rPr>
          <w:rFonts w:ascii="宋体" w:hAnsi="宋体" w:eastAsia="宋体"/>
          <w:sz w:val="21"/>
          <w:lang w:eastAsia="zh-CN"/>
        </w:rPr>
      </w:pPr>
      <w:r>
        <w:rPr>
          <w:rFonts w:ascii="宋体" w:hAnsi="宋体" w:eastAsia="宋体"/>
          <w:sz w:val="21"/>
          <w:lang w:eastAsia="zh-CN"/>
        </w:rPr>
        <w:t>在机械结构方面，团队联合供应商完成了定制化的传感器安装支架设计与开模，重点解决了车载设备的抗震与散热问题。目前，硬件团队已成功完成履带式测试底盘的组装与调试，实现了所有外设传感器在底盘上的物理固定。同时，完成了复杂的车内线束布局与接口定义，通过了电源稳定性测试及所有硬件的信号连通性调试</w:t>
      </w:r>
      <w:r>
        <w:rPr>
          <w:rFonts w:hint="eastAsia" w:ascii="宋体" w:hAnsi="宋体" w:eastAsia="宋体"/>
          <w:sz w:val="21"/>
          <w:lang w:eastAsia="zh-CN"/>
        </w:rPr>
        <w:t>，如图1所示</w:t>
      </w:r>
      <w:r>
        <w:rPr>
          <w:rFonts w:ascii="宋体" w:hAnsi="宋体" w:eastAsia="宋体"/>
          <w:sz w:val="21"/>
          <w:lang w:eastAsia="zh-CN"/>
        </w:rPr>
        <w:t>。硬件平台的搭建完成，标志着系统已从实验室散件阶段迈向了整车集成阶段。</w:t>
      </w:r>
    </w:p>
    <w:p w14:paraId="2746C23C">
      <w:pPr>
        <w:spacing w:after="0" w:line="360" w:lineRule="auto"/>
        <w:jc w:val="center"/>
        <w:rPr>
          <w:rFonts w:ascii="宋体" w:hAnsi="宋体" w:eastAsia="宋体"/>
          <w:sz w:val="21"/>
          <w:lang w:eastAsia="zh-CN"/>
        </w:rPr>
      </w:pPr>
      <w:r>
        <w:rPr>
          <w:rFonts w:hint="eastAsia" w:ascii="宋体" w:hAnsi="宋体" w:eastAsia="宋体"/>
          <w:sz w:val="30"/>
          <w:szCs w:val="30"/>
        </w:rPr>
        <w:drawing>
          <wp:inline distT="0" distB="0" distL="0" distR="0">
            <wp:extent cx="1310640" cy="1459865"/>
            <wp:effectExtent l="0" t="0" r="3810" b="6985"/>
            <wp:docPr id="1364913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3600"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16750" cy="1466490"/>
                    </a:xfrm>
                    <a:prstGeom prst="rect">
                      <a:avLst/>
                    </a:prstGeom>
                    <a:noFill/>
                    <a:ln>
                      <a:noFill/>
                    </a:ln>
                  </pic:spPr>
                </pic:pic>
              </a:graphicData>
            </a:graphic>
          </wp:inline>
        </w:drawing>
      </w:r>
      <w:r>
        <w:rPr>
          <w:rFonts w:ascii="宋体" w:hAnsi="宋体" w:eastAsia="宋体"/>
          <w:sz w:val="21"/>
          <w:lang w:eastAsia="zh-CN"/>
        </w:rPr>
        <w:drawing>
          <wp:inline distT="0" distB="0" distL="0" distR="0">
            <wp:extent cx="1917700" cy="1438910"/>
            <wp:effectExtent l="0" t="0" r="6350" b="8890"/>
            <wp:docPr id="200378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8906"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47000" cy="1461380"/>
                    </a:xfrm>
                    <a:prstGeom prst="rect">
                      <a:avLst/>
                    </a:prstGeom>
                    <a:noFill/>
                    <a:ln>
                      <a:noFill/>
                    </a:ln>
                  </pic:spPr>
                </pic:pic>
              </a:graphicData>
            </a:graphic>
          </wp:inline>
        </w:drawing>
      </w:r>
      <w:r>
        <w:rPr>
          <w:rFonts w:ascii="宋体" w:hAnsi="宋体" w:eastAsia="宋体"/>
          <w:sz w:val="21"/>
          <w:lang w:eastAsia="zh-CN"/>
        </w:rPr>
        <w:drawing>
          <wp:inline distT="0" distB="0" distL="0" distR="0">
            <wp:extent cx="1917700" cy="1438910"/>
            <wp:effectExtent l="0" t="0" r="6350" b="8890"/>
            <wp:docPr id="19740858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587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36642" cy="1453605"/>
                    </a:xfrm>
                    <a:prstGeom prst="rect">
                      <a:avLst/>
                    </a:prstGeom>
                    <a:noFill/>
                    <a:ln>
                      <a:noFill/>
                    </a:ln>
                  </pic:spPr>
                </pic:pic>
              </a:graphicData>
            </a:graphic>
          </wp:inline>
        </w:drawing>
      </w:r>
    </w:p>
    <w:p w14:paraId="60964E6A">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图1 测试样机</w:t>
      </w:r>
    </w:p>
    <w:p w14:paraId="59A09E7A">
      <w:pPr>
        <w:pStyle w:val="4"/>
        <w:spacing w:before="0" w:line="360" w:lineRule="auto"/>
        <w:rPr>
          <w:lang w:eastAsia="zh-CN"/>
        </w:rPr>
      </w:pPr>
      <w:r>
        <w:rPr>
          <w:rFonts w:ascii="宋体" w:hAnsi="宋体" w:eastAsia="宋体"/>
          <w:sz w:val="28"/>
          <w:lang w:eastAsia="zh-CN"/>
        </w:rPr>
        <w:t>三、融合感知与底层控制系统开发</w:t>
      </w:r>
    </w:p>
    <w:p w14:paraId="01ECA3BD">
      <w:pPr>
        <w:spacing w:after="0" w:line="360" w:lineRule="auto"/>
        <w:ind w:firstLine="420" w:firstLineChars="200"/>
        <w:rPr>
          <w:rFonts w:ascii="宋体" w:hAnsi="宋体" w:eastAsia="宋体"/>
          <w:sz w:val="21"/>
          <w:lang w:eastAsia="zh-CN"/>
        </w:rPr>
      </w:pPr>
      <w:r>
        <w:rPr>
          <w:rFonts w:ascii="宋体" w:hAnsi="宋体" w:eastAsia="宋体"/>
          <w:sz w:val="21"/>
          <w:lang w:eastAsia="zh-CN"/>
        </w:rPr>
        <w:t>在前期研发中发现，传统的纯激光SLAM算法（如Point-LIO）在火灾现场的退化环境（如长直走廊、空旷仓库或充满动态烟雾的场景）中，因特征缺失或干扰导致定位漂移甚至失效。</w:t>
      </w:r>
    </w:p>
    <w:p w14:paraId="6E522EF9">
      <w:pPr>
        <w:spacing w:after="0" w:line="360" w:lineRule="auto"/>
        <w:ind w:firstLine="420" w:firstLineChars="200"/>
        <w:rPr>
          <w:rFonts w:ascii="宋体" w:hAnsi="宋体" w:eastAsia="宋体"/>
          <w:sz w:val="21"/>
          <w:lang w:eastAsia="zh-CN"/>
        </w:rPr>
      </w:pPr>
      <w:r>
        <w:rPr>
          <w:rFonts w:ascii="宋体" w:hAnsi="宋体" w:eastAsia="宋体"/>
          <w:sz w:val="21"/>
          <w:lang w:eastAsia="zh-CN"/>
        </w:rPr>
        <w:t>为解决这一痛点，项目团队经过技术论证，果断将</w:t>
      </w:r>
      <w:r>
        <w:rPr>
          <w:rFonts w:ascii="宋体" w:hAnsi="宋体" w:eastAsia="宋体"/>
          <w:color w:val="auto"/>
          <w:sz w:val="21"/>
          <w:highlight w:val="yellow"/>
          <w:lang w:eastAsia="zh-CN"/>
        </w:rPr>
        <w:t>核心算法</w:t>
      </w:r>
      <w:r>
        <w:rPr>
          <w:rFonts w:ascii="宋体" w:hAnsi="宋体" w:eastAsia="宋体"/>
          <w:sz w:val="21"/>
          <w:lang w:eastAsia="zh-CN"/>
        </w:rPr>
        <w:t>迁移至</w:t>
      </w:r>
      <w:r>
        <w:rPr>
          <w:rFonts w:ascii="宋体" w:hAnsi="宋体" w:eastAsia="宋体"/>
          <w:color w:val="auto"/>
          <w:sz w:val="21"/>
          <w:highlight w:val="yellow"/>
          <w:lang w:eastAsia="zh-CN"/>
        </w:rPr>
        <w:t>FAST-LIVO2（Fast LiDAR-Inertial-Visual Odometry 2.0）</w:t>
      </w:r>
      <w:r>
        <w:rPr>
          <w:rFonts w:ascii="宋体" w:hAnsi="宋体" w:eastAsia="宋体"/>
          <w:sz w:val="21"/>
          <w:lang w:eastAsia="zh-CN"/>
        </w:rPr>
        <w:t>。该算法通过紧耦合的方式深度融合</w:t>
      </w:r>
      <w:r>
        <w:rPr>
          <w:rFonts w:ascii="宋体" w:hAnsi="宋体" w:eastAsia="宋体"/>
          <w:color w:val="auto"/>
          <w:sz w:val="21"/>
          <w:highlight w:val="yellow"/>
          <w:lang w:eastAsia="zh-CN"/>
        </w:rPr>
        <w:t>相机与激光雷达</w:t>
      </w:r>
      <w:r>
        <w:rPr>
          <w:rFonts w:ascii="宋体" w:hAnsi="宋体" w:eastAsia="宋体"/>
          <w:sz w:val="21"/>
          <w:lang w:eastAsia="zh-CN"/>
        </w:rPr>
        <w:t>的数据，利用视</w:t>
      </w:r>
      <w:r>
        <w:rPr>
          <w:rFonts w:ascii="宋体" w:hAnsi="宋体" w:eastAsia="宋体"/>
          <w:color w:val="auto"/>
          <w:sz w:val="21"/>
          <w:highlight w:val="yellow"/>
          <w:lang w:eastAsia="zh-CN"/>
        </w:rPr>
        <w:t>觉纹理信息弥补激光几何特征的不足</w:t>
      </w:r>
      <w:r>
        <w:rPr>
          <w:rFonts w:ascii="宋体" w:hAnsi="宋体" w:eastAsia="宋体"/>
          <w:sz w:val="21"/>
          <w:lang w:eastAsia="zh-CN"/>
        </w:rPr>
        <w:t>，显著提升了系统在</w:t>
      </w:r>
      <w:r>
        <w:rPr>
          <w:rFonts w:ascii="宋体" w:hAnsi="宋体" w:eastAsia="宋体"/>
          <w:color w:val="auto"/>
          <w:sz w:val="21"/>
          <w:highlight w:val="yellow"/>
          <w:lang w:eastAsia="zh-CN"/>
        </w:rPr>
        <w:t>低纹理环境</w:t>
      </w:r>
      <w:r>
        <w:rPr>
          <w:rFonts w:ascii="宋体" w:hAnsi="宋体" w:eastAsia="宋体"/>
          <w:sz w:val="21"/>
          <w:lang w:eastAsia="zh-CN"/>
        </w:rPr>
        <w:t>和动态干扰下的鲁棒性与轨迹精度。</w:t>
      </w:r>
    </w:p>
    <w:p w14:paraId="61E0F1D4">
      <w:pPr>
        <w:spacing w:after="0" w:line="360" w:lineRule="auto"/>
        <w:ind w:firstLine="420" w:firstLineChars="200"/>
        <w:rPr>
          <w:rFonts w:ascii="宋体" w:hAnsi="宋体" w:eastAsia="宋体"/>
          <w:sz w:val="21"/>
          <w:lang w:eastAsia="zh-CN"/>
        </w:rPr>
      </w:pPr>
      <w:r>
        <w:rPr>
          <w:rFonts w:ascii="宋体" w:hAnsi="宋体" w:eastAsia="宋体"/>
          <w:sz w:val="21"/>
          <w:lang w:eastAsia="zh-CN"/>
        </w:rPr>
        <w:t>为满足移动机器人高实时性的导航控制需求，团队自主开发了</w:t>
      </w:r>
      <w:r>
        <w:rPr>
          <w:rFonts w:ascii="宋体" w:hAnsi="宋体" w:eastAsia="宋体"/>
          <w:color w:val="auto"/>
          <w:sz w:val="21"/>
          <w:highlight w:val="yellow"/>
          <w:lang w:eastAsia="zh-CN"/>
        </w:rPr>
        <w:t>上位机（工业PC）与下位机（MCU）</w:t>
      </w:r>
      <w:r>
        <w:rPr>
          <w:rFonts w:ascii="宋体" w:hAnsi="宋体" w:eastAsia="宋体"/>
          <w:sz w:val="21"/>
          <w:lang w:eastAsia="zh-CN"/>
        </w:rPr>
        <w:t>之间的高可靠串口通信协议。该协议能够稳定传输导航模块解算出的线速度、角速度指令，实现对底盘电机的毫秒级实时控制。</w:t>
      </w:r>
      <w:r>
        <w:rPr>
          <w:rFonts w:hint="eastAsia" w:ascii="宋体" w:hAnsi="宋体" w:eastAsia="宋体"/>
          <w:sz w:val="21"/>
          <w:lang w:eastAsia="zh-CN"/>
        </w:rPr>
        <w:t>基于</w:t>
      </w:r>
      <w:r>
        <w:rPr>
          <w:rFonts w:hint="eastAsia" w:ascii="宋体" w:hAnsi="宋体" w:eastAsia="宋体"/>
          <w:color w:val="auto"/>
          <w:sz w:val="21"/>
          <w:highlight w:val="yellow"/>
          <w:lang w:eastAsia="zh-CN"/>
        </w:rPr>
        <w:t>乐鑫ESP32单片机</w:t>
      </w:r>
      <w:r>
        <w:rPr>
          <w:rFonts w:hint="eastAsia" w:ascii="宋体" w:hAnsi="宋体" w:eastAsia="宋体"/>
          <w:sz w:val="21"/>
          <w:lang w:eastAsia="zh-CN"/>
        </w:rPr>
        <w:t>进行</w:t>
      </w:r>
      <w:r>
        <w:rPr>
          <w:rFonts w:hint="eastAsia" w:ascii="宋体" w:hAnsi="宋体" w:eastAsia="宋体"/>
          <w:color w:val="auto"/>
          <w:sz w:val="21"/>
          <w:highlight w:val="yellow"/>
          <w:lang w:eastAsia="zh-CN"/>
        </w:rPr>
        <w:t>嵌入式程序</w:t>
      </w:r>
      <w:r>
        <w:rPr>
          <w:rFonts w:hint="eastAsia" w:ascii="宋体" w:hAnsi="宋体" w:eastAsia="宋体"/>
          <w:sz w:val="21"/>
          <w:lang w:eastAsia="zh-CN"/>
        </w:rPr>
        <w:t>开发，部分代码如图2所示。</w:t>
      </w:r>
    </w:p>
    <w:p w14:paraId="17BBC4E6">
      <w:pPr>
        <w:spacing w:after="0" w:line="360" w:lineRule="auto"/>
        <w:jc w:val="center"/>
        <w:rPr>
          <w:rFonts w:ascii="宋体" w:hAnsi="宋体" w:eastAsia="宋体"/>
          <w:sz w:val="21"/>
          <w:lang w:eastAsia="zh-CN"/>
        </w:rPr>
      </w:pPr>
      <w:r>
        <w:rPr>
          <w:rFonts w:ascii="宋体" w:hAnsi="宋体" w:eastAsia="宋体"/>
          <w:sz w:val="30"/>
          <w:szCs w:val="30"/>
        </w:rPr>
        <w:drawing>
          <wp:inline distT="0" distB="0" distL="0" distR="0">
            <wp:extent cx="4117975" cy="3397250"/>
            <wp:effectExtent l="0" t="0" r="0" b="0"/>
            <wp:docPr id="196342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3016" name="图片 1"/>
                    <pic:cNvPicPr>
                      <a:picLocks noChangeAspect="1"/>
                    </pic:cNvPicPr>
                  </pic:nvPicPr>
                  <pic:blipFill>
                    <a:blip r:embed="rId9"/>
                    <a:stretch>
                      <a:fillRect/>
                    </a:stretch>
                  </pic:blipFill>
                  <pic:spPr>
                    <a:xfrm>
                      <a:off x="0" y="0"/>
                      <a:ext cx="4120106" cy="3398864"/>
                    </a:xfrm>
                    <a:prstGeom prst="rect">
                      <a:avLst/>
                    </a:prstGeom>
                  </pic:spPr>
                </pic:pic>
              </a:graphicData>
            </a:graphic>
          </wp:inline>
        </w:drawing>
      </w:r>
    </w:p>
    <w:p w14:paraId="237D1226">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图2 嵌入式底层控制代码开发</w:t>
      </w:r>
    </w:p>
    <w:p w14:paraId="0DAA4E06">
      <w:pPr>
        <w:spacing w:after="0" w:line="360" w:lineRule="auto"/>
        <w:ind w:firstLine="420" w:firstLineChars="200"/>
        <w:rPr>
          <w:rFonts w:ascii="宋体" w:hAnsi="宋体" w:eastAsia="宋体"/>
          <w:sz w:val="21"/>
          <w:lang w:eastAsia="zh-CN"/>
        </w:rPr>
      </w:pPr>
      <w:r>
        <w:rPr>
          <w:rFonts w:ascii="宋体" w:hAnsi="宋体" w:eastAsia="宋体"/>
          <w:sz w:val="21"/>
          <w:lang w:eastAsia="zh-CN"/>
        </w:rPr>
        <w:t>此外，基于乐鑫ESP32单片机，团队完成了</w:t>
      </w:r>
      <w:r>
        <w:rPr>
          <w:rFonts w:ascii="宋体" w:hAnsi="宋体" w:eastAsia="宋体"/>
          <w:color w:val="auto"/>
          <w:sz w:val="21"/>
          <w:highlight w:val="yellow"/>
          <w:lang w:eastAsia="zh-CN"/>
        </w:rPr>
        <w:t>底层嵌入式驱动程序</w:t>
      </w:r>
      <w:r>
        <w:rPr>
          <w:rFonts w:ascii="宋体" w:hAnsi="宋体" w:eastAsia="宋体"/>
          <w:sz w:val="21"/>
          <w:lang w:eastAsia="zh-CN"/>
        </w:rPr>
        <w:t>的编写与调试。该程序负责解析上位机指令，并精确控制</w:t>
      </w:r>
      <w:r>
        <w:rPr>
          <w:rFonts w:ascii="宋体" w:hAnsi="宋体" w:eastAsia="宋体"/>
          <w:color w:val="auto"/>
          <w:sz w:val="21"/>
          <w:highlight w:val="yellow"/>
          <w:lang w:eastAsia="zh-CN"/>
        </w:rPr>
        <w:t>舵机与驱动电机</w:t>
      </w:r>
      <w:r>
        <w:rPr>
          <w:rFonts w:ascii="宋体" w:hAnsi="宋体" w:eastAsia="宋体"/>
          <w:sz w:val="21"/>
          <w:lang w:eastAsia="zh-CN"/>
        </w:rPr>
        <w:t>的运行状态，同时反馈底层传感器数据。目前，上下位机联调已完成，控制响应延迟低于20ms，满足设计要求。</w:t>
      </w:r>
    </w:p>
    <w:p w14:paraId="59800742">
      <w:pPr>
        <w:pStyle w:val="4"/>
        <w:spacing w:before="0" w:line="360" w:lineRule="auto"/>
        <w:rPr>
          <w:lang w:eastAsia="zh-CN"/>
        </w:rPr>
      </w:pPr>
      <w:r>
        <w:rPr>
          <w:rFonts w:ascii="宋体" w:hAnsi="宋体" w:eastAsia="宋体"/>
          <w:sz w:val="28"/>
          <w:lang w:eastAsia="zh-CN"/>
        </w:rPr>
        <w:t>四、SLAM系统功能测试与验证</w:t>
      </w:r>
    </w:p>
    <w:p w14:paraId="1FA348F8">
      <w:pPr>
        <w:spacing w:after="0" w:line="360" w:lineRule="auto"/>
        <w:ind w:firstLine="420" w:firstLineChars="200"/>
        <w:rPr>
          <w:rFonts w:ascii="宋体" w:hAnsi="宋体" w:eastAsia="宋体"/>
          <w:sz w:val="21"/>
          <w:lang w:eastAsia="zh-CN"/>
        </w:rPr>
      </w:pPr>
      <w:r>
        <w:rPr>
          <w:rFonts w:ascii="宋体" w:hAnsi="宋体" w:eastAsia="宋体"/>
          <w:sz w:val="21"/>
          <w:lang w:eastAsia="zh-CN"/>
        </w:rPr>
        <w:t>基于第二代集成硬件平台，团队开展了SLAM系统的全方位功能测试与性能评估：</w:t>
      </w:r>
    </w:p>
    <w:p w14:paraId="56330B57">
      <w:pPr>
        <w:spacing w:after="0" w:line="360" w:lineRule="auto"/>
        <w:ind w:firstLine="420" w:firstLineChars="200"/>
        <w:rPr>
          <w:rFonts w:ascii="宋体" w:hAnsi="宋体" w:eastAsia="宋体"/>
          <w:sz w:val="21"/>
          <w:lang w:eastAsia="zh-CN"/>
        </w:rPr>
      </w:pPr>
      <w:r>
        <w:rPr>
          <w:rFonts w:ascii="宋体" w:hAnsi="宋体" w:eastAsia="宋体"/>
          <w:sz w:val="21"/>
          <w:lang w:eastAsia="zh-CN"/>
        </w:rPr>
        <w:t>1. 多传感器标定：利用相机与激光雷达采集的静态同步数据，完成了高精度的外参标定。通过建立统一的时空坐标系，消除了因传感器安装误差带来的测量偏差</w:t>
      </w:r>
      <w:r>
        <w:rPr>
          <w:rFonts w:hint="eastAsia" w:ascii="宋体" w:hAnsi="宋体" w:eastAsia="宋体"/>
          <w:sz w:val="21"/>
          <w:lang w:eastAsia="zh-CN"/>
        </w:rPr>
        <w:t>，如图3所示。</w:t>
      </w:r>
    </w:p>
    <w:p w14:paraId="53E96E6D">
      <w:pPr>
        <w:spacing w:after="0" w:line="360" w:lineRule="auto"/>
        <w:jc w:val="center"/>
        <w:rPr>
          <w:rFonts w:ascii="宋体" w:hAnsi="宋体" w:eastAsia="宋体"/>
          <w:sz w:val="21"/>
          <w:lang w:eastAsia="zh-CN"/>
        </w:rPr>
      </w:pPr>
      <w:r>
        <w:rPr>
          <w:rFonts w:ascii="宋体" w:hAnsi="宋体" w:eastAsia="宋体"/>
          <w:sz w:val="30"/>
          <w:szCs w:val="30"/>
        </w:rPr>
        <w:drawing>
          <wp:inline distT="0" distB="0" distL="0" distR="0">
            <wp:extent cx="3638550" cy="3215640"/>
            <wp:effectExtent l="0" t="0" r="0" b="3810"/>
            <wp:docPr id="178595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8655" name="图片 1"/>
                    <pic:cNvPicPr>
                      <a:picLocks noChangeAspect="1" noChangeArrowheads="1"/>
                    </pic:cNvPicPr>
                  </pic:nvPicPr>
                  <pic:blipFill>
                    <a:blip r:embed="rId10">
                      <a:extLst>
                        <a:ext uri="{28A0092B-C50C-407E-A947-70E740481C1C}">
                          <a14:useLocalDpi xmlns:a14="http://schemas.microsoft.com/office/drawing/2010/main" val="0"/>
                        </a:ext>
                      </a:extLst>
                    </a:blip>
                    <a:srcRect l="17698" t="10356" r="13316"/>
                    <a:stretch>
                      <a:fillRect/>
                    </a:stretch>
                  </pic:blipFill>
                  <pic:spPr>
                    <a:xfrm>
                      <a:off x="0" y="0"/>
                      <a:ext cx="3638550" cy="3215640"/>
                    </a:xfrm>
                    <a:prstGeom prst="rect">
                      <a:avLst/>
                    </a:prstGeom>
                    <a:noFill/>
                    <a:ln>
                      <a:noFill/>
                    </a:ln>
                  </pic:spPr>
                </pic:pic>
              </a:graphicData>
            </a:graphic>
          </wp:inline>
        </w:drawing>
      </w:r>
    </w:p>
    <w:p w14:paraId="28BC6599">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图3 雷视融合标定</w:t>
      </w:r>
    </w:p>
    <w:p w14:paraId="7F46D9C0">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2. 实时性能优化：将标定参数导入</w:t>
      </w:r>
      <w:r>
        <w:rPr>
          <w:rFonts w:ascii="宋体" w:hAnsi="宋体" w:eastAsia="宋体"/>
          <w:color w:val="auto"/>
          <w:sz w:val="21"/>
          <w:highlight w:val="yellow"/>
          <w:lang w:eastAsia="zh-CN"/>
        </w:rPr>
        <w:t>FAST-LIVO2算法框架</w:t>
      </w:r>
      <w:r>
        <w:rPr>
          <w:rFonts w:ascii="宋体" w:hAnsi="宋体" w:eastAsia="宋体"/>
          <w:sz w:val="21"/>
          <w:lang w:eastAsia="zh-CN"/>
        </w:rPr>
        <w:t>后，团队针对嵌入式端的计算资源进行了深度优化。实测数据显示，系统单帧数据处理时延稳定在50毫秒以内，地图构建平滑，CPU占用率控制在合理区间，完全满足巡检作业对实时性的严苛要求。</w:t>
      </w:r>
    </w:p>
    <w:p w14:paraId="5C1C9016">
      <w:pPr>
        <w:pStyle w:val="4"/>
        <w:spacing w:before="0" w:line="360" w:lineRule="auto"/>
        <w:rPr>
          <w:lang w:eastAsia="zh-CN"/>
        </w:rPr>
      </w:pPr>
      <w:r>
        <w:rPr>
          <w:rFonts w:ascii="宋体" w:hAnsi="宋体" w:eastAsia="宋体"/>
          <w:sz w:val="28"/>
          <w:lang w:eastAsia="zh-CN"/>
        </w:rPr>
        <w:t>五、智能导航与路径规划算法</w:t>
      </w:r>
    </w:p>
    <w:p w14:paraId="4ED08737">
      <w:pPr>
        <w:spacing w:after="0" w:line="360" w:lineRule="auto"/>
        <w:ind w:firstLine="420" w:firstLineChars="200"/>
        <w:rPr>
          <w:rFonts w:ascii="宋体" w:hAnsi="宋体" w:eastAsia="宋体"/>
          <w:sz w:val="21"/>
          <w:lang w:eastAsia="zh-CN"/>
        </w:rPr>
      </w:pPr>
      <w:r>
        <w:rPr>
          <w:rFonts w:ascii="宋体" w:hAnsi="宋体" w:eastAsia="宋体"/>
          <w:sz w:val="21"/>
          <w:lang w:eastAsia="zh-CN"/>
        </w:rPr>
        <w:t>在SLAM提供精准定位的基础上，导航模块已成功实现集成与闭环运行：</w:t>
      </w:r>
    </w:p>
    <w:p w14:paraId="30E0200C">
      <w:pPr>
        <w:spacing w:after="0" w:line="360" w:lineRule="auto"/>
        <w:ind w:firstLine="420" w:firstLineChars="200"/>
        <w:rPr>
          <w:rFonts w:ascii="宋体" w:hAnsi="宋体" w:eastAsia="宋体"/>
          <w:sz w:val="21"/>
          <w:lang w:eastAsia="zh-CN"/>
        </w:rPr>
      </w:pPr>
      <w:r>
        <w:rPr>
          <w:rFonts w:ascii="宋体" w:hAnsi="宋体" w:eastAsia="宋体"/>
          <w:sz w:val="21"/>
          <w:lang w:eastAsia="zh-CN"/>
        </w:rPr>
        <w:t>1. 算法集成：融合了Dijkstra全局路径规划算法与DWA（Dynamic Window Approach）局部避障算法。系统能够根据任务需求自动规划最优全局路径，并在行进中实时规避突发障碍物</w:t>
      </w:r>
      <w:r>
        <w:rPr>
          <w:rFonts w:hint="eastAsia" w:ascii="宋体" w:hAnsi="宋体" w:eastAsia="宋体"/>
          <w:sz w:val="21"/>
          <w:lang w:eastAsia="zh-CN"/>
        </w:rPr>
        <w:t>，效果如图4所示。</w:t>
      </w:r>
    </w:p>
    <w:p w14:paraId="063B8AF2">
      <w:pPr>
        <w:spacing w:after="0" w:line="240" w:lineRule="auto"/>
        <w:jc w:val="center"/>
        <w:rPr>
          <w:rFonts w:ascii="宋体" w:hAnsi="宋体" w:eastAsia="宋体"/>
          <w:sz w:val="30"/>
          <w:szCs w:val="30"/>
          <w:lang w:eastAsia="zh-CN"/>
        </w:rPr>
      </w:pPr>
      <w:r>
        <w:rPr>
          <w:rFonts w:ascii="宋体" w:hAnsi="宋体" w:eastAsia="宋体"/>
          <w:sz w:val="30"/>
          <w:szCs w:val="30"/>
        </w:rPr>
        <w:drawing>
          <wp:inline distT="0" distB="0" distL="0" distR="0">
            <wp:extent cx="3101975" cy="1524000"/>
            <wp:effectExtent l="0" t="0" r="3175" b="0"/>
            <wp:docPr id="904608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8307"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b="12671"/>
                    <a:stretch>
                      <a:fillRect/>
                    </a:stretch>
                  </pic:blipFill>
                  <pic:spPr>
                    <a:xfrm>
                      <a:off x="0" y="0"/>
                      <a:ext cx="3110657" cy="1527990"/>
                    </a:xfrm>
                    <a:prstGeom prst="rect">
                      <a:avLst/>
                    </a:prstGeom>
                    <a:noFill/>
                    <a:ln>
                      <a:noFill/>
                    </a:ln>
                  </pic:spPr>
                </pic:pic>
              </a:graphicData>
            </a:graphic>
          </wp:inline>
        </w:drawing>
      </w:r>
      <w:r>
        <w:rPr>
          <w:rFonts w:ascii="宋体" w:hAnsi="宋体" w:eastAsia="宋体"/>
          <w:sz w:val="30"/>
          <w:szCs w:val="30"/>
        </w:rPr>
        <w:drawing>
          <wp:inline distT="0" distB="0" distL="0" distR="0">
            <wp:extent cx="1485265" cy="1849755"/>
            <wp:effectExtent l="8255" t="0" r="8890" b="8890"/>
            <wp:docPr id="9872911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91182"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5400000">
                      <a:off x="0" y="0"/>
                      <a:ext cx="1513578" cy="1885140"/>
                    </a:xfrm>
                    <a:prstGeom prst="rect">
                      <a:avLst/>
                    </a:prstGeom>
                    <a:noFill/>
                    <a:ln>
                      <a:noFill/>
                    </a:ln>
                  </pic:spPr>
                </pic:pic>
              </a:graphicData>
            </a:graphic>
          </wp:inline>
        </w:drawing>
      </w:r>
    </w:p>
    <w:p w14:paraId="366515B9">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图4 实时导航效果</w:t>
      </w:r>
    </w:p>
    <w:p w14:paraId="211B1829">
      <w:pPr>
        <w:spacing w:after="0" w:line="360" w:lineRule="auto"/>
        <w:ind w:firstLine="420" w:firstLineChars="200"/>
        <w:rPr>
          <w:rFonts w:ascii="宋体" w:hAnsi="宋体" w:eastAsia="宋体"/>
          <w:sz w:val="21"/>
          <w:lang w:eastAsia="zh-CN"/>
        </w:rPr>
      </w:pPr>
      <w:r>
        <w:rPr>
          <w:rFonts w:ascii="宋体" w:hAnsi="宋体" w:eastAsia="宋体"/>
          <w:sz w:val="21"/>
          <w:lang w:eastAsia="zh-CN"/>
        </w:rPr>
        <w:t>2. 参数调优：针对消防巡检场景的特殊性，团队对导航关键参数进行了多轮仿真与实车调优。重点优化了速度权重、障碍物惩罚系数及安全缓冲距离，确保机器人在狭窄通道、急转弯等复杂场景下具备优异的路径跟踪能力和紧急制动性能。</w:t>
      </w:r>
      <w:r>
        <w:rPr>
          <w:rFonts w:hint="eastAsia" w:ascii="宋体" w:hAnsi="宋体" w:eastAsia="宋体"/>
          <w:sz w:val="21"/>
          <w:lang w:eastAsia="zh-CN"/>
        </w:rPr>
        <w:t>部分导航参数如图5所示。</w:t>
      </w:r>
    </w:p>
    <w:p w14:paraId="213A48C0">
      <w:pPr>
        <w:spacing w:after="0" w:line="360" w:lineRule="auto"/>
        <w:jc w:val="center"/>
        <w:rPr>
          <w:rFonts w:ascii="宋体" w:hAnsi="宋体" w:eastAsia="宋体"/>
          <w:sz w:val="21"/>
          <w:lang w:eastAsia="zh-CN"/>
        </w:rPr>
      </w:pPr>
      <w:r>
        <w:rPr>
          <w:rFonts w:ascii="宋体" w:hAnsi="宋体" w:eastAsia="宋体"/>
          <w:sz w:val="30"/>
          <w:szCs w:val="30"/>
        </w:rPr>
        <w:drawing>
          <wp:inline distT="0" distB="0" distL="0" distR="0">
            <wp:extent cx="4445000" cy="5390515"/>
            <wp:effectExtent l="0" t="0" r="0" b="635"/>
            <wp:docPr id="118030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7456" name="图片 1"/>
                    <pic:cNvPicPr>
                      <a:picLocks noChangeAspect="1"/>
                    </pic:cNvPicPr>
                  </pic:nvPicPr>
                  <pic:blipFill>
                    <a:blip r:embed="rId13"/>
                    <a:stretch>
                      <a:fillRect/>
                    </a:stretch>
                  </pic:blipFill>
                  <pic:spPr>
                    <a:xfrm>
                      <a:off x="0" y="0"/>
                      <a:ext cx="4452332" cy="5399511"/>
                    </a:xfrm>
                    <a:prstGeom prst="rect">
                      <a:avLst/>
                    </a:prstGeom>
                  </pic:spPr>
                </pic:pic>
              </a:graphicData>
            </a:graphic>
          </wp:inline>
        </w:drawing>
      </w:r>
    </w:p>
    <w:p w14:paraId="6374AB8D">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图5 主要导航参数设置</w:t>
      </w:r>
    </w:p>
    <w:p w14:paraId="54059FCD">
      <w:pPr>
        <w:pStyle w:val="4"/>
        <w:spacing w:before="0" w:line="360" w:lineRule="auto"/>
      </w:pPr>
      <w:r>
        <w:rPr>
          <w:rFonts w:ascii="宋体" w:hAnsi="宋体" w:eastAsia="宋体"/>
          <w:sz w:val="28"/>
        </w:rPr>
        <w:t>六、自主重定位机制部署</w:t>
      </w:r>
    </w:p>
    <w:p w14:paraId="76D06232">
      <w:pPr>
        <w:spacing w:after="0" w:line="360" w:lineRule="auto"/>
        <w:ind w:firstLine="420" w:firstLineChars="200"/>
        <w:rPr>
          <w:rFonts w:ascii="宋体" w:hAnsi="宋体" w:eastAsia="宋体"/>
          <w:sz w:val="21"/>
          <w:lang w:eastAsia="zh-CN"/>
        </w:rPr>
      </w:pPr>
      <w:r>
        <w:rPr>
          <w:rFonts w:ascii="宋体" w:hAnsi="宋体" w:eastAsia="宋体"/>
          <w:sz w:val="21"/>
          <w:lang w:eastAsia="zh-CN"/>
        </w:rPr>
        <w:t>为提升装备在无人工干预情况下的长期运行能力，团队部署了</w:t>
      </w:r>
      <w:bookmarkStart w:id="0" w:name="_GoBack"/>
      <w:r>
        <w:rPr>
          <w:rFonts w:ascii="宋体" w:hAnsi="宋体" w:eastAsia="宋体"/>
          <w:color w:val="auto"/>
          <w:sz w:val="21"/>
          <w:highlight w:val="yellow"/>
          <w:lang w:eastAsia="zh-CN"/>
        </w:rPr>
        <w:t>开机自启动重定位机制</w:t>
      </w:r>
      <w:bookmarkEnd w:id="0"/>
      <w:r>
        <w:rPr>
          <w:rFonts w:ascii="宋体" w:hAnsi="宋体" w:eastAsia="宋体"/>
          <w:sz w:val="21"/>
          <w:lang w:eastAsia="zh-CN"/>
        </w:rPr>
        <w:t>，有效解决了机器人断电重启后的"冷启动"问题：</w:t>
      </w:r>
    </w:p>
    <w:p w14:paraId="3354197E">
      <w:pPr>
        <w:spacing w:after="0" w:line="360" w:lineRule="auto"/>
        <w:ind w:firstLine="420" w:firstLineChars="200"/>
        <w:rPr>
          <w:rFonts w:ascii="宋体" w:hAnsi="宋体" w:eastAsia="宋体"/>
          <w:sz w:val="21"/>
          <w:lang w:eastAsia="zh-CN"/>
        </w:rPr>
      </w:pPr>
      <w:r>
        <w:rPr>
          <w:rFonts w:hint="eastAsia" w:ascii="宋体" w:hAnsi="宋体" w:eastAsia="宋体"/>
          <w:sz w:val="21"/>
          <w:lang w:eastAsia="zh-CN"/>
        </w:rPr>
        <w:t>项目采用</w:t>
      </w:r>
      <w:r>
        <w:rPr>
          <w:rFonts w:ascii="宋体" w:hAnsi="宋体" w:eastAsia="宋体"/>
          <w:sz w:val="21"/>
          <w:lang w:eastAsia="zh-CN"/>
        </w:rPr>
        <w:t>人工辅助定位</w:t>
      </w:r>
      <w:r>
        <w:rPr>
          <w:rFonts w:hint="eastAsia" w:ascii="宋体" w:hAnsi="宋体" w:eastAsia="宋体"/>
          <w:sz w:val="21"/>
          <w:lang w:eastAsia="zh-CN"/>
        </w:rPr>
        <w:t>方案，</w:t>
      </w:r>
      <w:r>
        <w:rPr>
          <w:rFonts w:ascii="宋体" w:hAnsi="宋体" w:eastAsia="宋体"/>
          <w:sz w:val="21"/>
          <w:lang w:eastAsia="zh-CN"/>
        </w:rPr>
        <w:t>操作人员可通过交互界面手动输入或点击地图，指定机器人的近似起始坐标，快速恢复任务。</w:t>
      </w:r>
    </w:p>
    <w:p w14:paraId="3C62BE08">
      <w:pPr>
        <w:spacing w:after="0" w:line="360" w:lineRule="auto"/>
        <w:ind w:firstLine="420" w:firstLineChars="200"/>
        <w:rPr>
          <w:rFonts w:ascii="宋体" w:hAnsi="宋体" w:eastAsia="宋体"/>
          <w:sz w:val="21"/>
          <w:lang w:eastAsia="zh-CN"/>
        </w:rPr>
      </w:pPr>
      <w:r>
        <w:rPr>
          <w:rFonts w:hint="eastAsia" w:ascii="宋体" w:hAnsi="宋体" w:eastAsia="宋体"/>
          <w:sz w:val="21"/>
          <w:lang w:eastAsia="zh-CN"/>
        </w:rPr>
        <w:t>通过</w:t>
      </w:r>
      <w:r>
        <w:rPr>
          <w:rFonts w:ascii="宋体" w:hAnsi="宋体" w:eastAsia="宋体"/>
          <w:sz w:val="21"/>
          <w:lang w:eastAsia="zh-CN"/>
        </w:rPr>
        <w:t>全局匹配定位</w:t>
      </w:r>
      <w:r>
        <w:rPr>
          <w:rFonts w:hint="eastAsia" w:ascii="宋体" w:hAnsi="宋体" w:eastAsia="宋体"/>
          <w:sz w:val="21"/>
          <w:lang w:eastAsia="zh-CN"/>
        </w:rPr>
        <w:t>，</w:t>
      </w:r>
      <w:r>
        <w:rPr>
          <w:rFonts w:ascii="宋体" w:hAnsi="宋体" w:eastAsia="宋体"/>
          <w:sz w:val="21"/>
          <w:lang w:eastAsia="zh-CN"/>
        </w:rPr>
        <w:t>系统利用当前传感器观测数据与预存的高精点云地图进行全图特征匹配，自动推断最优初始位姿。</w:t>
      </w:r>
    </w:p>
    <w:p w14:paraId="332108C8">
      <w:pPr>
        <w:spacing w:after="0" w:line="360" w:lineRule="auto"/>
        <w:ind w:firstLine="420" w:firstLineChars="200"/>
        <w:rPr>
          <w:rFonts w:ascii="宋体" w:hAnsi="宋体" w:eastAsia="宋体"/>
          <w:sz w:val="21"/>
          <w:lang w:eastAsia="zh-CN"/>
        </w:rPr>
      </w:pPr>
      <w:r>
        <w:rPr>
          <w:rFonts w:ascii="宋体" w:hAnsi="宋体" w:eastAsia="宋体"/>
          <w:sz w:val="21"/>
          <w:lang w:eastAsia="zh-CN"/>
        </w:rPr>
        <w:t>该机制的引入，使得巡检装备在任务中断或系统重启后，无需重新建图即可迅速融入原有工作环境，极大保障了长期自主巡检的连续性与可靠性。</w:t>
      </w:r>
      <w:r>
        <w:rPr>
          <w:rFonts w:hint="eastAsia" w:ascii="宋体" w:hAnsi="宋体" w:eastAsia="宋体"/>
          <w:sz w:val="21"/>
          <w:lang w:eastAsia="zh-CN"/>
        </w:rPr>
        <w:t>重定位效果如图6所示。</w:t>
      </w:r>
    </w:p>
    <w:p w14:paraId="24A52E1B">
      <w:pPr>
        <w:spacing w:after="0" w:line="360" w:lineRule="auto"/>
        <w:jc w:val="center"/>
        <w:rPr>
          <w:rFonts w:ascii="宋体" w:hAnsi="宋体" w:eastAsia="宋体"/>
          <w:sz w:val="21"/>
          <w:lang w:eastAsia="zh-CN"/>
        </w:rPr>
      </w:pPr>
      <w:r>
        <w:rPr>
          <w:rFonts w:ascii="宋体" w:hAnsi="宋体" w:eastAsia="宋体"/>
          <w:sz w:val="30"/>
          <w:szCs w:val="30"/>
        </w:rPr>
        <w:drawing>
          <wp:inline distT="0" distB="0" distL="0" distR="0">
            <wp:extent cx="5274310" cy="3068955"/>
            <wp:effectExtent l="0" t="0" r="2540" b="0"/>
            <wp:docPr id="204731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4631" name="图片 1"/>
                    <pic:cNvPicPr>
                      <a:picLocks noChangeAspect="1"/>
                    </pic:cNvPicPr>
                  </pic:nvPicPr>
                  <pic:blipFill>
                    <a:blip r:embed="rId14"/>
                    <a:stretch>
                      <a:fillRect/>
                    </a:stretch>
                  </pic:blipFill>
                  <pic:spPr>
                    <a:xfrm>
                      <a:off x="0" y="0"/>
                      <a:ext cx="5274310" cy="3068955"/>
                    </a:xfrm>
                    <a:prstGeom prst="rect">
                      <a:avLst/>
                    </a:prstGeom>
                  </pic:spPr>
                </pic:pic>
              </a:graphicData>
            </a:graphic>
          </wp:inline>
        </w:drawing>
      </w:r>
    </w:p>
    <w:p w14:paraId="43B49ACF">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图6 重定位效果</w:t>
      </w:r>
    </w:p>
    <w:p w14:paraId="50787D37">
      <w:pPr>
        <w:spacing w:after="0" w:line="360" w:lineRule="auto"/>
        <w:rPr>
          <w:rFonts w:hint="eastAsia" w:eastAsia="宋体"/>
          <w:lang w:eastAsia="zh-CN"/>
        </w:rPr>
      </w:pPr>
      <w:r>
        <w:rPr>
          <w:rFonts w:ascii="宋体" w:hAnsi="宋体" w:eastAsia="宋体"/>
          <w:sz w:val="21"/>
          <w:lang w:eastAsia="zh-CN"/>
        </w:rPr>
        <w:br w:type="textWrapping"/>
      </w:r>
      <w:r>
        <w:rPr>
          <w:rFonts w:ascii="宋体" w:hAnsi="宋体" w:eastAsia="宋体"/>
          <w:sz w:val="21"/>
          <w:lang w:eastAsia="zh-CN"/>
        </w:rPr>
        <w:t>编制：北京交通大学项目组</w:t>
      </w:r>
    </w:p>
    <w:p w14:paraId="39688803">
      <w:pPr>
        <w:spacing w:after="0" w:line="360" w:lineRule="auto"/>
        <w:rPr>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82A"/>
    <w:rsid w:val="008A3A10"/>
    <w:rsid w:val="00A01FA9"/>
    <w:rsid w:val="00AA1D8D"/>
    <w:rsid w:val="00B47730"/>
    <w:rsid w:val="00C42703"/>
    <w:rsid w:val="00CB0664"/>
    <w:rsid w:val="00E67097"/>
    <w:rsid w:val="00F33FB1"/>
    <w:rsid w:val="00F503DC"/>
    <w:rsid w:val="00FC693F"/>
    <w:rsid w:val="604F4F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页眉 字符"/>
    <w:basedOn w:val="132"/>
    <w:link w:val="25"/>
    <w:qFormat/>
    <w:uiPriority w:val="99"/>
  </w:style>
  <w:style w:type="character" w:customStyle="1" w:styleId="138">
    <w:name w:val="页脚 字符"/>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1839</Words>
  <Characters>1969</Characters>
  <Lines>14</Lines>
  <Paragraphs>4</Paragraphs>
  <TotalTime>28</TotalTime>
  <ScaleCrop>false</ScaleCrop>
  <LinksUpToDate>false</LinksUpToDate>
  <CharactersWithSpaces>1984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风琴</cp:lastModifiedBy>
  <dcterms:modified xsi:type="dcterms:W3CDTF">2026-07-08T01:55:48Z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{"Label":"1","ContentProducer":"001191440300708461136T1IVWN","ProduceID":"e51331a6fdf205ed7e273c359d0ae6a4-bgjert3pwpc7oawbe2ozkodugyfqsj4j5nzxqbh6","ReservedCode1":"{\"Type\":\" TC260PG\",\"Version\":1,\"Bindings\":[{\"Type\":\"soft\",\"AlgID\":\"sm3\",\"Value\":\"7813c9fcaa1fad283c983f48c2347f7536c1a4855b16ea77d0acb3e1e14de218\"},{\"Type\":\"hash\",\"AlgID\":\"sm3\",\"Value\":\"8bb1cf7dcc40a24886c02649d2ed97a61b10c83a68e70137a92636e07ba0b1d2\"}],\"PubSD\":[{\"Type\":\"DS\",\"AlgID\":\"sm2\",\"TBSData\":{\"Type\":\"Binding\",\"BType\":\"hash\"},\"Signature\":\"3045022100ead61bdb5a6cb8e199e0d27eb60bf2a7095710d596ecf43402d67f6bd7854047022063881cbdedd7aac8a23495cced534eaad9e26d1a84bfaeca509aecca49bfbd23\"},{\"Type\":\"PubKey\",\"AlgID\":\"sm2\",\"KeyValue\":\"0407f79b28a17a752b3aae4305c98b48978213832729a2571850b1310b2bc9fe8fee039ccf25ebfeac27502414d9fcef792d777183c98893d226171c2f7a3289a2\"}],\"Extension\":{\"Timestamp\":1778825326,\"KeyVersion\":\"v1-Owd2uMESYLo311\"}}","ContentPropagator":"001191440300708461136T1IVWN","PropagateID":"e51331a6fdf205ed7e273c359d0ae6a4-bgjert3pwpc7oawbe2ozkodugyfqsj4j5nzxqbh6","ReservedCode2":"{\"Type\":\" TC260PG\",\"Version\":1,\"Bindings\":[{\"Type\":\"soft\",\"AlgID\":\"sm3\",\"Value\":\"7813c9fcaa1fad283c983f48c2347f7536c1a4855b16ea77d0acb3e1e14de218\"},{\"Type\":\"hash\",\"AlgID\":\"sm3\",\"Value\":\"8bb1cf7dcc40a24886c02649d2ed97a61b10c83a68e70137a92636e07ba0b1d2\"}],\"PubSD\":[{\"Type\":\"DS\",\"AlgID\":\"sm2\",\"TBSData\":{\"Type\":\"Binding\",\"BType\":\"hash\"},\"Signature\":\"304602210082ca63a60a6991d280f3749a9e4bf5ff991f1e2fa5244859f91e0d77413b5ea0022100afcf62a5e6de05808ba598fdad1923abeacdb6137c37a8159f6a13697eb68524\"},{\"Type\":\"PubKey\",\"AlgID\":\"sm2\",\"KeyValue\":\"0407f79b28a17a752b3aae4305c98b48978213832729a2571850b1310b2bc9fe8fee039ccf25ebfeac27502414d9fcef792d777183c98893d226171c2f7a3289a2\"}],\"Extension\":{\"Timestamp\":1778825326,\"KeyVersion\":\"v1-Owd2uMESYLo311\"}}"}</vt:lpwstr>
  </property>
  <property fmtid="{D5CDD505-2E9C-101B-9397-08002B2CF9AE}" pid="3" name="KSOTemplateDocerSaveRecord">
    <vt:lpwstr>eyJoZGlkIjoiYWMyYzJlNjdjNzUyMDkxNmU5NDc1NWI0YzdhZDBkZTQiLCJ1c2VySWQiOiI4MjI4MjM3OTUifQ==</vt:lpwstr>
  </property>
  <property fmtid="{D5CDD505-2E9C-101B-9397-08002B2CF9AE}" pid="4" name="KSOProductBuildVer">
    <vt:lpwstr>2052-12.1.0.26895</vt:lpwstr>
  </property>
  <property fmtid="{D5CDD505-2E9C-101B-9397-08002B2CF9AE}" pid="5" name="ICV">
    <vt:lpwstr>F64AD52B24444D4288CD29C9957ED74F_12</vt:lpwstr>
  </property>
</Properties>
</file>