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接口测试。</w:t>
      </w:r>
    </w:p>
    <w:p>
      <w:pPr>
        <w:pStyle w:val="Heading1"/>
      </w:pPr>
      <w:r>
        <w:t>问题现象</w:t>
      </w:r>
    </w:p>
    <w:p>
      <w:r>
        <w:t>接口接触异常。</w:t>
      </w:r>
    </w:p>
    <w:p>
      <w:pPr>
        <w:pStyle w:val="Heading1"/>
      </w:pPr>
      <w:r>
        <w:t>分析过程</w:t>
      </w:r>
    </w:p>
    <w:p>
      <w:r>
        <w:t>检查连接器触点。</w:t>
      </w:r>
    </w:p>
    <w:p>
      <w:pPr>
        <w:pStyle w:val="Heading1"/>
      </w:pPr>
      <w:r>
        <w:t>根因</w:t>
      </w:r>
    </w:p>
    <w:p>
      <w:r>
        <w:t>连接器触点氧化。</w:t>
      </w:r>
    </w:p>
    <w:p>
      <w:pPr>
        <w:pStyle w:val="Heading1"/>
      </w:pPr>
      <w:r>
        <w:t>结论</w:t>
      </w:r>
    </w:p>
    <w:p>
      <w:r>
        <w:t>待措施验证。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