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电源测试。</w:t>
      </w:r>
    </w:p>
    <w:p>
      <w:pPr>
        <w:pStyle w:val="Heading1"/>
      </w:pPr>
      <w:r>
        <w:t>问题现象</w:t>
      </w:r>
    </w:p>
    <w:p>
      <w:r>
        <w:t>电源纹波超标。</w:t>
      </w:r>
    </w:p>
    <w:p>
      <w:pPr>
        <w:pStyle w:val="Heading1"/>
      </w:pPr>
      <w:r>
        <w:t>分析过程</w:t>
      </w:r>
    </w:p>
    <w:p>
      <w:r>
        <w:t>观察电源波形。</w:t>
      </w:r>
    </w:p>
    <w:p>
      <w:pPr>
        <w:pStyle w:val="Heading1"/>
      </w:pPr>
      <w:r>
        <w:t>根因</w:t>
      </w:r>
    </w:p>
    <w:p>
      <w:r>
        <w:t>电容老化。</w:t>
      </w:r>
    </w:p>
    <w:p>
      <w:pPr>
        <w:pStyle w:val="Heading1"/>
      </w:pPr>
      <w:r>
        <w:t>解决措施</w:t>
      </w:r>
    </w:p>
    <w:p>
      <w:r>
        <w:t>更换电容。</w:t>
      </w:r>
    </w:p>
    <w:p>
      <w:pPr>
        <w:pStyle w:val="Heading1"/>
      </w:pPr>
      <w:r>
        <w:t>结论</w:t>
      </w:r>
    </w:p>
    <w:p>
      <w:r>
        <w:t>电源纹波恢复。</w:t>
      </w:r>
    </w:p>
    <w:p>
      <w:pPr>
        <w:pStyle w:val="Heading1"/>
      </w:pPr>
      <w:r>
        <w:t>附图</w:t>
      </w:r>
    </w:p>
    <w:p>
      <w:r>
        <w:drawing>
          <wp:inline xmlns:a="http://schemas.openxmlformats.org/drawingml/2006/main" xmlns:pic="http://schemas.openxmlformats.org/drawingml/2006/picture">
            <wp:extent cx="91440" cy="9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