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5209" w14:textId="77777777" w:rsidR="0075359C" w:rsidRPr="0059312B" w:rsidRDefault="00F0017C" w:rsidP="00F0017C">
      <w:pPr>
        <w:pStyle w:val="BodyText"/>
        <w:spacing w:before="240"/>
        <w:ind w:left="0"/>
        <w:jc w:val="center"/>
        <w:rPr>
          <w:rFonts w:ascii="Calibri"/>
          <w:b/>
          <w:color w:val="244061" w:themeColor="accent1" w:themeShade="80"/>
          <w:sz w:val="46"/>
          <w:szCs w:val="46"/>
          <w:u w:val="single"/>
        </w:rPr>
      </w:pPr>
      <w:r w:rsidRPr="0059312B">
        <w:rPr>
          <w:rFonts w:ascii="Calibri" w:eastAsia="Calibri" w:hAnsi="Calibri" w:cs="Calibri"/>
          <w:b/>
          <w:noProof/>
          <w:color w:val="244061" w:themeColor="accent1" w:themeShade="80"/>
          <w:sz w:val="46"/>
          <w:szCs w:val="46"/>
          <w:u w:val="single"/>
        </w:rPr>
        <w:t>FinServe – Loan Origination &amp; Customer Support Portal</w:t>
      </w:r>
    </w:p>
    <w:p w14:paraId="726EFA69" w14:textId="77777777" w:rsidR="0075359C" w:rsidRDefault="0059312B">
      <w:pPr>
        <w:pStyle w:val="Heading1"/>
        <w:spacing w:before="249"/>
      </w:pPr>
      <w:r>
        <w:rPr>
          <w:color w:val="4F81BC"/>
          <w:spacing w:val="-2"/>
        </w:rPr>
        <w:t>Overview</w:t>
      </w:r>
    </w:p>
    <w:p w14:paraId="26897180" w14:textId="77777777" w:rsidR="00F0017C" w:rsidRDefault="00F0017C" w:rsidP="001D30CC">
      <w:pPr>
        <w:pStyle w:val="BodyText"/>
        <w:spacing w:before="50" w:line="276" w:lineRule="auto"/>
        <w:jc w:val="both"/>
      </w:pPr>
      <w:r>
        <w:t>Our project focuses on transforming the loan management process in the banking and financial sector. Traditional loan processing is slow, paper-heavy, and error-prone — leading to delays, poor customer experience, and revenue loss.</w:t>
      </w:r>
    </w:p>
    <w:p w14:paraId="01D40FF3" w14:textId="77777777" w:rsidR="0075359C" w:rsidRDefault="00F0017C" w:rsidP="001D30CC">
      <w:pPr>
        <w:pStyle w:val="BodyText"/>
        <w:spacing w:before="50" w:line="276" w:lineRule="auto"/>
        <w:jc w:val="both"/>
      </w:pPr>
      <w:r>
        <w:t>FinServe is a Salesforce-based solution designed to digitize and automate loan origination, approval workflows, KYC verification, EMI reminders, and customer support, while providing real-time dashboards for management</w:t>
      </w:r>
      <w:r w:rsidR="0059312B">
        <w:t>.</w:t>
      </w:r>
    </w:p>
    <w:p w14:paraId="3F748597" w14:textId="77777777" w:rsidR="0075359C" w:rsidRDefault="0059312B">
      <w:pPr>
        <w:pStyle w:val="Heading1"/>
        <w:spacing w:before="200"/>
      </w:pPr>
      <w:r>
        <w:rPr>
          <w:color w:val="4F81BC"/>
        </w:rPr>
        <w:t>What</w:t>
      </w:r>
      <w:r>
        <w:rPr>
          <w:color w:val="4F81BC"/>
          <w:spacing w:val="-7"/>
        </w:rPr>
        <w:t xml:space="preserve"> </w:t>
      </w:r>
      <w:r>
        <w:rPr>
          <w:color w:val="4F81BC"/>
        </w:rPr>
        <w:t>Makes</w:t>
      </w:r>
      <w:r>
        <w:rPr>
          <w:color w:val="4F81BC"/>
          <w:spacing w:val="-7"/>
        </w:rPr>
        <w:t xml:space="preserve"> </w:t>
      </w:r>
      <w:r>
        <w:rPr>
          <w:color w:val="4F81BC"/>
        </w:rPr>
        <w:t>Our</w:t>
      </w:r>
      <w:r>
        <w:rPr>
          <w:color w:val="4F81BC"/>
          <w:spacing w:val="-8"/>
        </w:rPr>
        <w:t xml:space="preserve"> </w:t>
      </w:r>
      <w:r>
        <w:rPr>
          <w:color w:val="4F81BC"/>
        </w:rPr>
        <w:t>Project</w:t>
      </w:r>
      <w:r>
        <w:rPr>
          <w:color w:val="4F81BC"/>
          <w:spacing w:val="-8"/>
        </w:rPr>
        <w:t xml:space="preserve"> </w:t>
      </w:r>
      <w:r>
        <w:rPr>
          <w:color w:val="4F81BC"/>
          <w:spacing w:val="-2"/>
        </w:rPr>
        <w:t>Special</w:t>
      </w:r>
    </w:p>
    <w:p w14:paraId="7435C10E" w14:textId="77777777" w:rsidR="001D30CC" w:rsidRDefault="00F0017C" w:rsidP="001D30CC">
      <w:pPr>
        <w:pStyle w:val="Heading1"/>
        <w:spacing w:before="0"/>
        <w:rPr>
          <w:rFonts w:ascii="Cambria" w:eastAsia="Cambria" w:hAnsi="Cambria" w:cs="Cambria"/>
          <w:b w:val="0"/>
          <w:bCs w:val="0"/>
          <w:sz w:val="22"/>
          <w:szCs w:val="22"/>
        </w:rPr>
      </w:pPr>
      <w:r w:rsidRPr="00F0017C">
        <w:rPr>
          <w:rFonts w:ascii="Cambria" w:eastAsia="Cambria" w:hAnsi="Cambria" w:cs="Cambria"/>
          <w:b w:val="0"/>
          <w:bCs w:val="0"/>
          <w:sz w:val="22"/>
          <w:szCs w:val="22"/>
        </w:rPr>
        <w:t xml:space="preserve">Most existing systems only track applications or send reminders. </w:t>
      </w:r>
    </w:p>
    <w:p w14:paraId="4D3C26B4" w14:textId="77777777" w:rsidR="00F0017C" w:rsidRPr="00F0017C" w:rsidRDefault="00F0017C" w:rsidP="001D30CC">
      <w:pPr>
        <w:pStyle w:val="Heading1"/>
        <w:spacing w:before="0"/>
        <w:rPr>
          <w:rFonts w:ascii="Cambria" w:eastAsia="Cambria" w:hAnsi="Cambria" w:cs="Cambria"/>
          <w:b w:val="0"/>
          <w:bCs w:val="0"/>
          <w:sz w:val="22"/>
          <w:szCs w:val="22"/>
        </w:rPr>
      </w:pPr>
      <w:r w:rsidRPr="00F0017C">
        <w:rPr>
          <w:rFonts w:ascii="Cambria" w:eastAsia="Cambria" w:hAnsi="Cambria" w:cs="Cambria"/>
          <w:b w:val="0"/>
          <w:bCs w:val="0"/>
          <w:sz w:val="22"/>
          <w:szCs w:val="22"/>
        </w:rPr>
        <w:t>FinServe goes further by:</w:t>
      </w:r>
    </w:p>
    <w:p w14:paraId="17A5A188" w14:textId="77777777" w:rsidR="00F0017C" w:rsidRP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Automating end-to-end loan origination (application to disbursement).</w:t>
      </w:r>
    </w:p>
    <w:p w14:paraId="4832A597" w14:textId="77777777" w:rsidR="00F0017C" w:rsidRP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Providing multi-stage approval workflows with built-in compliance checks.</w:t>
      </w:r>
    </w:p>
    <w:p w14:paraId="5A075AC2" w14:textId="77777777" w:rsidR="00F0017C" w:rsidRP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Integrating with external KYC/credit scoring systems for faster verification.</w:t>
      </w:r>
    </w:p>
    <w:p w14:paraId="6731BA90" w14:textId="77777777" w:rsidR="00F0017C" w:rsidRP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Offering automated EMI reminders and overdue escalations.</w:t>
      </w:r>
    </w:p>
    <w:p w14:paraId="79CF0A57" w14:textId="77777777" w:rsidR="00F0017C" w:rsidRP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Delivering real-time dashboards for loan performance and agent activity.</w:t>
      </w:r>
    </w:p>
    <w:p w14:paraId="16CC9841" w14:textId="77777777" w:rsidR="00F0017C" w:rsidRDefault="00F0017C" w:rsidP="001D30CC">
      <w:pPr>
        <w:pStyle w:val="Heading1"/>
        <w:numPr>
          <w:ilvl w:val="0"/>
          <w:numId w:val="15"/>
        </w:numPr>
        <w:spacing w:before="0"/>
        <w:rPr>
          <w:rFonts w:ascii="Cambria" w:eastAsia="Cambria" w:hAnsi="Cambria" w:cs="Cambria"/>
          <w:b w:val="0"/>
          <w:bCs w:val="0"/>
          <w:sz w:val="22"/>
          <w:szCs w:val="22"/>
        </w:rPr>
      </w:pPr>
      <w:r w:rsidRPr="00F0017C">
        <w:rPr>
          <w:rFonts w:ascii="Segoe UI Symbol" w:eastAsia="Cambria" w:hAnsi="Segoe UI Symbol" w:cs="Segoe UI Symbol"/>
          <w:b w:val="0"/>
          <w:bCs w:val="0"/>
          <w:sz w:val="22"/>
          <w:szCs w:val="22"/>
        </w:rPr>
        <w:t>✔</w:t>
      </w:r>
      <w:r w:rsidRPr="00F0017C">
        <w:rPr>
          <w:rFonts w:ascii="Cambria" w:eastAsia="Cambria" w:hAnsi="Cambria" w:cs="Cambria"/>
          <w:b w:val="0"/>
          <w:bCs w:val="0"/>
          <w:sz w:val="22"/>
          <w:szCs w:val="22"/>
        </w:rPr>
        <w:t xml:space="preserve"> Ensuring a seamless experience for customers, loan officers, and managers.</w:t>
      </w:r>
    </w:p>
    <w:p w14:paraId="41F9B7C6" w14:textId="77777777" w:rsidR="0075359C" w:rsidRDefault="0059312B" w:rsidP="00F0017C">
      <w:pPr>
        <w:pStyle w:val="Heading1"/>
        <w:spacing w:before="244"/>
      </w:pPr>
      <w:r>
        <w:rPr>
          <w:color w:val="4F81BC"/>
        </w:rPr>
        <w:t>Technologies</w:t>
      </w:r>
      <w:r>
        <w:rPr>
          <w:color w:val="4F81BC"/>
          <w:spacing w:val="-9"/>
        </w:rPr>
        <w:t xml:space="preserve"> </w:t>
      </w:r>
      <w:r>
        <w:rPr>
          <w:color w:val="4F81BC"/>
        </w:rPr>
        <w:t>We</w:t>
      </w:r>
      <w:r>
        <w:rPr>
          <w:color w:val="4F81BC"/>
          <w:spacing w:val="-7"/>
        </w:rPr>
        <w:t xml:space="preserve"> </w:t>
      </w:r>
      <w:r>
        <w:rPr>
          <w:color w:val="4F81BC"/>
        </w:rPr>
        <w:t>Are</w:t>
      </w:r>
      <w:r>
        <w:rPr>
          <w:color w:val="4F81BC"/>
          <w:spacing w:val="-4"/>
        </w:rPr>
        <w:t xml:space="preserve"> </w:t>
      </w:r>
      <w:r>
        <w:rPr>
          <w:color w:val="4F81BC"/>
          <w:spacing w:val="-2"/>
        </w:rPr>
        <w:t>Using</w:t>
      </w:r>
    </w:p>
    <w:p w14:paraId="240C0FAE" w14:textId="77777777" w:rsidR="001D30CC" w:rsidRDefault="001D30CC" w:rsidP="00F0017C">
      <w:pPr>
        <w:pStyle w:val="Heading2"/>
        <w:spacing w:before="0"/>
        <w:rPr>
          <w:color w:val="4F81BC"/>
        </w:rPr>
      </w:pPr>
    </w:p>
    <w:p w14:paraId="7DC25D80" w14:textId="77777777" w:rsidR="00F0017C" w:rsidRDefault="00F0017C" w:rsidP="00F0017C">
      <w:pPr>
        <w:pStyle w:val="Heading2"/>
        <w:spacing w:before="0"/>
        <w:rPr>
          <w:color w:val="4F81BC"/>
        </w:rPr>
      </w:pPr>
      <w:r w:rsidRPr="00F0017C">
        <w:rPr>
          <w:color w:val="4F81BC"/>
        </w:rPr>
        <w:t>Platform – Salesforce CRM</w:t>
      </w:r>
    </w:p>
    <w:p w14:paraId="2489E8CB" w14:textId="77777777" w:rsidR="001D30CC" w:rsidRDefault="001D30CC" w:rsidP="001D30CC">
      <w:pPr>
        <w:pStyle w:val="Heading2"/>
        <w:spacing w:before="0"/>
        <w:jc w:val="both"/>
        <w:rPr>
          <w:b w:val="0"/>
          <w:color w:val="000000" w:themeColor="text1"/>
        </w:rPr>
      </w:pPr>
      <w:r w:rsidRPr="001D30CC">
        <w:rPr>
          <w:b w:val="0"/>
          <w:color w:val="000000" w:themeColor="text1"/>
        </w:rPr>
        <w:t>Handles all loan, customer, and application records. Uses Standard Objects (Leads, Opportunities, Contacts) and Custom Objects (Loan Application, EMI Schedule, KYC Document). Automates approval workflows with Flows, Approval Processes, and Apex. Provides customer portals and officer dashboards through Lightning Web Components (LWC).</w:t>
      </w:r>
    </w:p>
    <w:p w14:paraId="59B47FCC" w14:textId="77777777" w:rsidR="001D30CC" w:rsidRDefault="001D30CC" w:rsidP="00F0017C">
      <w:pPr>
        <w:pStyle w:val="Heading2"/>
        <w:spacing w:before="0"/>
        <w:rPr>
          <w:color w:val="4F81BC"/>
        </w:rPr>
      </w:pPr>
    </w:p>
    <w:p w14:paraId="7C979CF5" w14:textId="77777777" w:rsidR="00F0017C" w:rsidRDefault="00F0017C" w:rsidP="00F0017C">
      <w:pPr>
        <w:pStyle w:val="Heading2"/>
        <w:spacing w:before="0"/>
        <w:rPr>
          <w:color w:val="244061" w:themeColor="accent1" w:themeShade="80"/>
        </w:rPr>
      </w:pPr>
      <w:r w:rsidRPr="00F0017C">
        <w:rPr>
          <w:color w:val="4F81BC"/>
        </w:rPr>
        <w:t>Integration</w:t>
      </w:r>
    </w:p>
    <w:p w14:paraId="5F6D59C3" w14:textId="77777777" w:rsidR="001D30CC" w:rsidRDefault="001D30CC" w:rsidP="001D30CC">
      <w:pPr>
        <w:pStyle w:val="Heading2"/>
        <w:spacing w:before="0"/>
        <w:jc w:val="both"/>
        <w:rPr>
          <w:b w:val="0"/>
          <w:color w:val="000000" w:themeColor="text1"/>
        </w:rPr>
      </w:pPr>
      <w:r w:rsidRPr="001D30CC">
        <w:rPr>
          <w:b w:val="0"/>
          <w:color w:val="000000" w:themeColor="text1"/>
        </w:rPr>
        <w:t>Connects Salesforce with external services for real-time validation and communication. Uses Apex Callouts and Named Credentials for KYC and credit score API checks. Integrates with SMS/Email services like Twilio or SendGrid to send EMI reminders, loan status updates, and approval notifications.</w:t>
      </w:r>
    </w:p>
    <w:p w14:paraId="01198A4D" w14:textId="77777777" w:rsidR="001D30CC" w:rsidRDefault="001D30CC" w:rsidP="00F0017C">
      <w:pPr>
        <w:pStyle w:val="Heading2"/>
        <w:spacing w:before="0"/>
        <w:rPr>
          <w:color w:val="4F81BD" w:themeColor="accent1"/>
        </w:rPr>
      </w:pPr>
    </w:p>
    <w:p w14:paraId="4BDB5422" w14:textId="77777777" w:rsidR="00F0017C" w:rsidRPr="00F0017C" w:rsidRDefault="00F0017C" w:rsidP="00F0017C">
      <w:pPr>
        <w:pStyle w:val="Heading2"/>
        <w:spacing w:before="0"/>
        <w:rPr>
          <w:color w:val="4F81BD" w:themeColor="accent1"/>
        </w:rPr>
      </w:pPr>
      <w:r w:rsidRPr="00F0017C">
        <w:rPr>
          <w:color w:val="4F81BD" w:themeColor="accent1"/>
        </w:rPr>
        <w:t>Data Tools</w:t>
      </w:r>
    </w:p>
    <w:p w14:paraId="383783FB" w14:textId="77777777" w:rsidR="001D30CC" w:rsidRDefault="001D30CC" w:rsidP="001D30CC">
      <w:pPr>
        <w:pStyle w:val="Heading2"/>
        <w:spacing w:before="0"/>
        <w:jc w:val="both"/>
        <w:rPr>
          <w:b w:val="0"/>
          <w:color w:val="000000" w:themeColor="text1"/>
        </w:rPr>
      </w:pPr>
      <w:r w:rsidRPr="001D30CC">
        <w:rPr>
          <w:b w:val="0"/>
          <w:color w:val="000000" w:themeColor="text1"/>
        </w:rPr>
        <w:t>Enables analytics, reporting, and bulk data management. Salesforce Reports and Dashboards provide insights on loan pipelines, EMI defaults, and officer performance. Dynamic Dashboards allow role-based visibility. Data Loader supports bulk imports of customer and loan data, as well as exports for audits and backups.</w:t>
      </w:r>
    </w:p>
    <w:p w14:paraId="44CEFB24" w14:textId="77777777" w:rsidR="001D30CC" w:rsidRDefault="001D30CC" w:rsidP="00F0017C">
      <w:pPr>
        <w:pStyle w:val="Heading2"/>
        <w:spacing w:before="0"/>
        <w:rPr>
          <w:color w:val="4F81BC"/>
        </w:rPr>
      </w:pPr>
    </w:p>
    <w:p w14:paraId="53856E71" w14:textId="77777777" w:rsidR="00F0017C" w:rsidRDefault="00F0017C" w:rsidP="00F0017C">
      <w:pPr>
        <w:pStyle w:val="Heading2"/>
        <w:spacing w:before="0"/>
        <w:rPr>
          <w:color w:val="000000" w:themeColor="text1"/>
        </w:rPr>
      </w:pPr>
      <w:r w:rsidRPr="00F0017C">
        <w:rPr>
          <w:color w:val="4F81BC"/>
        </w:rPr>
        <w:t>Programming – Apex &amp; LWC</w:t>
      </w:r>
    </w:p>
    <w:p w14:paraId="40EAC123" w14:textId="77777777" w:rsidR="001D30CC" w:rsidRDefault="001D30CC" w:rsidP="001D30CC">
      <w:pPr>
        <w:pStyle w:val="Heading2"/>
        <w:spacing w:before="0"/>
        <w:jc w:val="both"/>
        <w:rPr>
          <w:b w:val="0"/>
          <w:color w:val="000000" w:themeColor="text1"/>
        </w:rPr>
      </w:pPr>
      <w:r w:rsidRPr="001D30CC">
        <w:rPr>
          <w:b w:val="0"/>
          <w:color w:val="000000" w:themeColor="text1"/>
        </w:rPr>
        <w:t>Implements custom business logic and interactive interfaces. Apex classes and triggers calculate eligibility, generate EMI schedules, and update loan statuses. Asynchronous Apex (Batch, Queueable, Future) processes bulk applications and credit checks efficiently. Lightning Web Components create responsive loan portals and officer dashboards with Wire Adapters for live data and Imperative Apex Calls for real-time actions like credit score checks or EMI plan generation.</w:t>
      </w:r>
    </w:p>
    <w:p w14:paraId="09003EA0" w14:textId="77777777" w:rsidR="00F0017C" w:rsidRPr="001D30CC" w:rsidRDefault="00F0017C" w:rsidP="001D30CC">
      <w:pPr>
        <w:pStyle w:val="Heading2"/>
        <w:spacing w:before="0"/>
        <w:rPr>
          <w:b w:val="0"/>
          <w:color w:val="000000" w:themeColor="text1"/>
          <w:sz w:val="26"/>
          <w:szCs w:val="26"/>
        </w:rPr>
      </w:pPr>
      <w:r w:rsidRPr="001D30CC">
        <w:rPr>
          <w:color w:val="4F81BC"/>
          <w:sz w:val="26"/>
          <w:szCs w:val="26"/>
        </w:rPr>
        <w:lastRenderedPageBreak/>
        <w:t>Architectural Flow</w:t>
      </w:r>
    </w:p>
    <w:p w14:paraId="696F2A9B" w14:textId="77777777" w:rsidR="00F0017C" w:rsidRPr="00F0017C" w:rsidRDefault="00F0017C" w:rsidP="00F0017C">
      <w:pPr>
        <w:pStyle w:val="Heading1"/>
        <w:numPr>
          <w:ilvl w:val="0"/>
          <w:numId w:val="6"/>
        </w:numPr>
        <w:rPr>
          <w:color w:val="4F81BC"/>
          <w:sz w:val="22"/>
          <w:szCs w:val="22"/>
        </w:rPr>
      </w:pPr>
      <w:r w:rsidRPr="00F0017C">
        <w:rPr>
          <w:color w:val="4F81BC"/>
          <w:sz w:val="22"/>
          <w:szCs w:val="22"/>
        </w:rPr>
        <w:t>Input Layer (Loan Application Intake)</w:t>
      </w:r>
    </w:p>
    <w:p w14:paraId="68C27C22" w14:textId="77777777" w:rsidR="00F0017C" w:rsidRPr="0059312B" w:rsidRDefault="00F0017C" w:rsidP="00F0017C">
      <w:pPr>
        <w:pStyle w:val="Heading1"/>
        <w:numPr>
          <w:ilvl w:val="0"/>
          <w:numId w:val="8"/>
        </w:numPr>
        <w:spacing w:before="0"/>
        <w:rPr>
          <w:b w:val="0"/>
          <w:color w:val="000000" w:themeColor="text1"/>
          <w:sz w:val="22"/>
          <w:szCs w:val="22"/>
        </w:rPr>
      </w:pPr>
      <w:r w:rsidRPr="0059312B">
        <w:rPr>
          <w:b w:val="0"/>
          <w:color w:val="000000" w:themeColor="text1"/>
          <w:sz w:val="22"/>
          <w:szCs w:val="22"/>
        </w:rPr>
        <w:t>Customer submits loan application via web form/portal.</w:t>
      </w:r>
    </w:p>
    <w:p w14:paraId="08211FE9" w14:textId="77777777" w:rsidR="00F0017C" w:rsidRPr="0059312B" w:rsidRDefault="00F0017C" w:rsidP="00F0017C">
      <w:pPr>
        <w:pStyle w:val="Heading1"/>
        <w:numPr>
          <w:ilvl w:val="0"/>
          <w:numId w:val="8"/>
        </w:numPr>
        <w:spacing w:before="0"/>
        <w:rPr>
          <w:b w:val="0"/>
          <w:color w:val="000000" w:themeColor="text1"/>
          <w:sz w:val="22"/>
          <w:szCs w:val="22"/>
        </w:rPr>
      </w:pPr>
      <w:r w:rsidRPr="0059312B">
        <w:rPr>
          <w:b w:val="0"/>
          <w:color w:val="000000" w:themeColor="text1"/>
          <w:sz w:val="22"/>
          <w:szCs w:val="22"/>
        </w:rPr>
        <w:t>Salesforce auto-creates a Lead/Application record.</w:t>
      </w:r>
    </w:p>
    <w:p w14:paraId="79D1F546" w14:textId="77777777" w:rsidR="00F0017C" w:rsidRPr="0059312B" w:rsidRDefault="00F0017C" w:rsidP="00F0017C">
      <w:pPr>
        <w:pStyle w:val="Heading1"/>
        <w:numPr>
          <w:ilvl w:val="0"/>
          <w:numId w:val="6"/>
        </w:numPr>
        <w:rPr>
          <w:color w:val="4F81BC"/>
          <w:sz w:val="22"/>
          <w:szCs w:val="22"/>
        </w:rPr>
      </w:pPr>
      <w:r w:rsidRPr="0059312B">
        <w:rPr>
          <w:color w:val="4F81BC"/>
          <w:sz w:val="22"/>
          <w:szCs w:val="22"/>
        </w:rPr>
        <w:t>Processing Layer</w:t>
      </w:r>
    </w:p>
    <w:p w14:paraId="06BB7126" w14:textId="77777777" w:rsidR="00F0017C" w:rsidRPr="0059312B" w:rsidRDefault="00F0017C" w:rsidP="0059312B">
      <w:pPr>
        <w:pStyle w:val="Heading1"/>
        <w:numPr>
          <w:ilvl w:val="0"/>
          <w:numId w:val="9"/>
        </w:numPr>
        <w:spacing w:before="0"/>
        <w:rPr>
          <w:b w:val="0"/>
          <w:color w:val="000000" w:themeColor="text1"/>
          <w:sz w:val="22"/>
          <w:szCs w:val="22"/>
        </w:rPr>
      </w:pPr>
      <w:r w:rsidRPr="0059312B">
        <w:rPr>
          <w:b w:val="0"/>
          <w:color w:val="000000" w:themeColor="text1"/>
          <w:sz w:val="22"/>
          <w:szCs w:val="22"/>
        </w:rPr>
        <w:t>Approval workflows route applications to Loan Officers → RMs → Credit Managers.</w:t>
      </w:r>
    </w:p>
    <w:p w14:paraId="5FF075E0" w14:textId="77777777" w:rsidR="00F0017C" w:rsidRPr="0059312B" w:rsidRDefault="00F0017C" w:rsidP="0059312B">
      <w:pPr>
        <w:pStyle w:val="Heading1"/>
        <w:numPr>
          <w:ilvl w:val="0"/>
          <w:numId w:val="9"/>
        </w:numPr>
        <w:spacing w:before="0"/>
        <w:rPr>
          <w:b w:val="0"/>
          <w:color w:val="000000" w:themeColor="text1"/>
          <w:sz w:val="22"/>
          <w:szCs w:val="22"/>
        </w:rPr>
      </w:pPr>
      <w:r w:rsidRPr="0059312B">
        <w:rPr>
          <w:b w:val="0"/>
          <w:color w:val="000000" w:themeColor="text1"/>
          <w:sz w:val="22"/>
          <w:szCs w:val="22"/>
        </w:rPr>
        <w:t>KYC Verification integrates with external APIs.</w:t>
      </w:r>
    </w:p>
    <w:p w14:paraId="26E6FF9F" w14:textId="77777777" w:rsidR="00F0017C" w:rsidRPr="0059312B" w:rsidRDefault="00F0017C" w:rsidP="0059312B">
      <w:pPr>
        <w:pStyle w:val="Heading1"/>
        <w:numPr>
          <w:ilvl w:val="0"/>
          <w:numId w:val="9"/>
        </w:numPr>
        <w:spacing w:before="0"/>
        <w:rPr>
          <w:b w:val="0"/>
          <w:color w:val="000000" w:themeColor="text1"/>
          <w:sz w:val="22"/>
          <w:szCs w:val="22"/>
        </w:rPr>
      </w:pPr>
      <w:r w:rsidRPr="0059312B">
        <w:rPr>
          <w:b w:val="0"/>
          <w:color w:val="000000" w:themeColor="text1"/>
          <w:sz w:val="22"/>
          <w:szCs w:val="22"/>
        </w:rPr>
        <w:t>Salesforce automation tracks required documents and status.</w:t>
      </w:r>
    </w:p>
    <w:p w14:paraId="06E94A29" w14:textId="77777777" w:rsidR="00F0017C" w:rsidRPr="0059312B" w:rsidRDefault="00F0017C" w:rsidP="00F0017C">
      <w:pPr>
        <w:pStyle w:val="Heading1"/>
        <w:numPr>
          <w:ilvl w:val="0"/>
          <w:numId w:val="6"/>
        </w:numPr>
        <w:rPr>
          <w:color w:val="4F81BC"/>
          <w:sz w:val="22"/>
          <w:szCs w:val="22"/>
        </w:rPr>
      </w:pPr>
      <w:r w:rsidRPr="0059312B">
        <w:rPr>
          <w:color w:val="4F81BC"/>
          <w:sz w:val="22"/>
          <w:szCs w:val="22"/>
        </w:rPr>
        <w:t>Loan Management Layer</w:t>
      </w:r>
    </w:p>
    <w:p w14:paraId="3ECEC0BD" w14:textId="77777777" w:rsidR="00F0017C" w:rsidRPr="0059312B" w:rsidRDefault="00F0017C" w:rsidP="0059312B">
      <w:pPr>
        <w:pStyle w:val="Heading1"/>
        <w:numPr>
          <w:ilvl w:val="0"/>
          <w:numId w:val="10"/>
        </w:numPr>
        <w:spacing w:before="0"/>
        <w:rPr>
          <w:b w:val="0"/>
          <w:color w:val="000000" w:themeColor="text1"/>
          <w:sz w:val="22"/>
          <w:szCs w:val="22"/>
        </w:rPr>
      </w:pPr>
      <w:r w:rsidRPr="0059312B">
        <w:rPr>
          <w:b w:val="0"/>
          <w:color w:val="000000" w:themeColor="text1"/>
          <w:sz w:val="22"/>
          <w:szCs w:val="22"/>
        </w:rPr>
        <w:t>Once approved, Opportunity is converted to Loan Record.</w:t>
      </w:r>
    </w:p>
    <w:p w14:paraId="1CC4F531" w14:textId="77777777" w:rsidR="00F0017C" w:rsidRPr="0059312B" w:rsidRDefault="00F0017C" w:rsidP="0059312B">
      <w:pPr>
        <w:pStyle w:val="Heading1"/>
        <w:numPr>
          <w:ilvl w:val="0"/>
          <w:numId w:val="10"/>
        </w:numPr>
        <w:spacing w:before="0"/>
        <w:rPr>
          <w:b w:val="0"/>
          <w:color w:val="000000" w:themeColor="text1"/>
        </w:rPr>
      </w:pPr>
      <w:r w:rsidRPr="0059312B">
        <w:rPr>
          <w:b w:val="0"/>
          <w:color w:val="000000" w:themeColor="text1"/>
          <w:sz w:val="22"/>
          <w:szCs w:val="22"/>
        </w:rPr>
        <w:t>EMI schedules generated and reminders automated</w:t>
      </w:r>
      <w:r w:rsidRPr="0059312B">
        <w:rPr>
          <w:b w:val="0"/>
          <w:color w:val="000000" w:themeColor="text1"/>
        </w:rPr>
        <w:t>.</w:t>
      </w:r>
    </w:p>
    <w:p w14:paraId="4AFF2D2B" w14:textId="77777777" w:rsidR="00F0017C" w:rsidRPr="0059312B" w:rsidRDefault="00F0017C" w:rsidP="00F0017C">
      <w:pPr>
        <w:pStyle w:val="Heading1"/>
        <w:numPr>
          <w:ilvl w:val="0"/>
          <w:numId w:val="6"/>
        </w:numPr>
        <w:rPr>
          <w:color w:val="4F81BC"/>
          <w:sz w:val="22"/>
          <w:szCs w:val="22"/>
        </w:rPr>
      </w:pPr>
      <w:r w:rsidRPr="0059312B">
        <w:rPr>
          <w:color w:val="4F81BC"/>
          <w:sz w:val="22"/>
          <w:szCs w:val="22"/>
        </w:rPr>
        <w:t>Customer Support Layer</w:t>
      </w:r>
    </w:p>
    <w:p w14:paraId="3A74B8B1" w14:textId="77777777" w:rsidR="00F0017C" w:rsidRPr="0059312B" w:rsidRDefault="00F0017C" w:rsidP="0059312B">
      <w:pPr>
        <w:pStyle w:val="Heading1"/>
        <w:numPr>
          <w:ilvl w:val="0"/>
          <w:numId w:val="11"/>
        </w:numPr>
        <w:spacing w:before="0"/>
        <w:rPr>
          <w:b w:val="0"/>
          <w:color w:val="000000" w:themeColor="text1"/>
          <w:sz w:val="22"/>
          <w:szCs w:val="22"/>
        </w:rPr>
      </w:pPr>
      <w:r w:rsidRPr="0059312B">
        <w:rPr>
          <w:b w:val="0"/>
          <w:color w:val="000000" w:themeColor="text1"/>
          <w:sz w:val="22"/>
          <w:szCs w:val="22"/>
        </w:rPr>
        <w:t>Customers receive updates via SMS/Email.</w:t>
      </w:r>
    </w:p>
    <w:p w14:paraId="2ADE319F" w14:textId="77777777" w:rsidR="00F0017C" w:rsidRPr="0059312B" w:rsidRDefault="00F0017C" w:rsidP="0059312B">
      <w:pPr>
        <w:pStyle w:val="Heading1"/>
        <w:numPr>
          <w:ilvl w:val="0"/>
          <w:numId w:val="11"/>
        </w:numPr>
        <w:spacing w:before="0"/>
        <w:rPr>
          <w:b w:val="0"/>
          <w:color w:val="000000" w:themeColor="text1"/>
          <w:sz w:val="22"/>
          <w:szCs w:val="22"/>
        </w:rPr>
      </w:pPr>
      <w:r w:rsidRPr="0059312B">
        <w:rPr>
          <w:b w:val="0"/>
          <w:color w:val="000000" w:themeColor="text1"/>
          <w:sz w:val="22"/>
          <w:szCs w:val="22"/>
        </w:rPr>
        <w:t>Cases created automatically for overdue EMIs or service requests.</w:t>
      </w:r>
    </w:p>
    <w:p w14:paraId="29227A01" w14:textId="77777777" w:rsidR="0059312B" w:rsidRDefault="0059312B" w:rsidP="0059312B">
      <w:pPr>
        <w:pStyle w:val="Heading1"/>
        <w:spacing w:before="0"/>
        <w:rPr>
          <w:color w:val="4F81BC"/>
          <w:sz w:val="22"/>
          <w:szCs w:val="22"/>
        </w:rPr>
      </w:pPr>
    </w:p>
    <w:p w14:paraId="2AAF38A7" w14:textId="77777777" w:rsidR="00F0017C" w:rsidRPr="0059312B" w:rsidRDefault="00F0017C" w:rsidP="0059312B">
      <w:pPr>
        <w:pStyle w:val="Heading1"/>
        <w:numPr>
          <w:ilvl w:val="0"/>
          <w:numId w:val="6"/>
        </w:numPr>
        <w:spacing w:before="0"/>
        <w:rPr>
          <w:color w:val="4F81BC"/>
          <w:sz w:val="22"/>
          <w:szCs w:val="22"/>
        </w:rPr>
      </w:pPr>
      <w:r w:rsidRPr="0059312B">
        <w:rPr>
          <w:color w:val="4F81BC"/>
          <w:sz w:val="22"/>
          <w:szCs w:val="22"/>
        </w:rPr>
        <w:t>Analytics Layer (Dashboards &amp; Reports)</w:t>
      </w:r>
    </w:p>
    <w:p w14:paraId="1F1D32AA" w14:textId="77777777" w:rsidR="00F0017C" w:rsidRPr="0059312B" w:rsidRDefault="00F0017C" w:rsidP="0059312B">
      <w:pPr>
        <w:pStyle w:val="Heading1"/>
        <w:numPr>
          <w:ilvl w:val="0"/>
          <w:numId w:val="12"/>
        </w:numPr>
        <w:spacing w:before="0"/>
        <w:rPr>
          <w:b w:val="0"/>
          <w:color w:val="000000" w:themeColor="text1"/>
          <w:sz w:val="22"/>
          <w:szCs w:val="22"/>
        </w:rPr>
      </w:pPr>
      <w:r w:rsidRPr="0059312B">
        <w:rPr>
          <w:b w:val="0"/>
          <w:color w:val="000000" w:themeColor="text1"/>
          <w:sz w:val="22"/>
          <w:szCs w:val="22"/>
        </w:rPr>
        <w:t>Tracks loan volumes, approval timelines, default rates.</w:t>
      </w:r>
    </w:p>
    <w:p w14:paraId="3E2D6EFC" w14:textId="77777777" w:rsidR="00F0017C" w:rsidRPr="0059312B" w:rsidRDefault="00F0017C" w:rsidP="0059312B">
      <w:pPr>
        <w:pStyle w:val="Heading1"/>
        <w:numPr>
          <w:ilvl w:val="0"/>
          <w:numId w:val="12"/>
        </w:numPr>
        <w:spacing w:before="0"/>
        <w:rPr>
          <w:b w:val="0"/>
          <w:color w:val="000000" w:themeColor="text1"/>
          <w:sz w:val="22"/>
          <w:szCs w:val="22"/>
        </w:rPr>
      </w:pPr>
      <w:r w:rsidRPr="0059312B">
        <w:rPr>
          <w:b w:val="0"/>
          <w:color w:val="000000" w:themeColor="text1"/>
          <w:sz w:val="22"/>
          <w:szCs w:val="22"/>
        </w:rPr>
        <w:t>Monitors agent performance and customer satisfaction.</w:t>
      </w:r>
    </w:p>
    <w:p w14:paraId="7007A178" w14:textId="77777777" w:rsidR="0075359C" w:rsidRDefault="0059312B">
      <w:pPr>
        <w:pStyle w:val="Heading1"/>
      </w:pPr>
      <w:r>
        <w:rPr>
          <w:color w:val="4F81BC"/>
        </w:rPr>
        <w:t>How</w:t>
      </w:r>
      <w:r>
        <w:rPr>
          <w:color w:val="4F81BC"/>
          <w:spacing w:val="-7"/>
        </w:rPr>
        <w:t xml:space="preserve"> </w:t>
      </w:r>
      <w:r>
        <w:rPr>
          <w:color w:val="4F81BC"/>
        </w:rPr>
        <w:t>This</w:t>
      </w:r>
      <w:r>
        <w:rPr>
          <w:color w:val="4F81BC"/>
          <w:spacing w:val="-8"/>
        </w:rPr>
        <w:t xml:space="preserve"> </w:t>
      </w:r>
      <w:r>
        <w:rPr>
          <w:color w:val="4F81BC"/>
        </w:rPr>
        <w:t>Solves</w:t>
      </w:r>
      <w:r>
        <w:rPr>
          <w:color w:val="4F81BC"/>
          <w:spacing w:val="-6"/>
        </w:rPr>
        <w:t xml:space="preserve"> </w:t>
      </w:r>
      <w:r>
        <w:rPr>
          <w:color w:val="4F81BC"/>
        </w:rPr>
        <w:t>the</w:t>
      </w:r>
      <w:r>
        <w:rPr>
          <w:color w:val="4F81BC"/>
          <w:spacing w:val="-6"/>
        </w:rPr>
        <w:t xml:space="preserve"> </w:t>
      </w:r>
      <w:r>
        <w:rPr>
          <w:color w:val="4F81BC"/>
          <w:spacing w:val="-2"/>
        </w:rPr>
        <w:t>Challenge</w:t>
      </w:r>
    </w:p>
    <w:p w14:paraId="6FCA7652" w14:textId="77777777" w:rsidR="0059312B" w:rsidRPr="0059312B" w:rsidRDefault="0059312B" w:rsidP="0059312B">
      <w:pPr>
        <w:pStyle w:val="Heading1"/>
        <w:numPr>
          <w:ilvl w:val="0"/>
          <w:numId w:val="14"/>
        </w:numPr>
        <w:spacing w:before="0"/>
        <w:jc w:val="both"/>
        <w:rPr>
          <w:rFonts w:asciiTheme="minorHAnsi" w:eastAsia="Cambria" w:hAnsiTheme="minorHAnsi" w:cstheme="minorHAnsi"/>
          <w:b w:val="0"/>
          <w:bCs w:val="0"/>
          <w:sz w:val="22"/>
          <w:szCs w:val="22"/>
        </w:rPr>
      </w:pPr>
      <w:r w:rsidRPr="0059312B">
        <w:rPr>
          <w:rFonts w:ascii="Segoe UI Symbol" w:eastAsia="Cambria" w:hAnsi="Segoe UI Symbol" w:cs="Segoe UI Symbol"/>
          <w:b w:val="0"/>
          <w:bCs w:val="0"/>
          <w:sz w:val="22"/>
          <w:szCs w:val="22"/>
        </w:rPr>
        <w:t>✔</w:t>
      </w:r>
      <w:r w:rsidRPr="0059312B">
        <w:rPr>
          <w:rFonts w:asciiTheme="minorHAnsi" w:eastAsia="Cambria" w:hAnsiTheme="minorHAnsi" w:cstheme="minorHAnsi"/>
          <w:b w:val="0"/>
          <w:bCs w:val="0"/>
          <w:sz w:val="22"/>
          <w:szCs w:val="22"/>
        </w:rPr>
        <w:t xml:space="preserve"> Faster Processing – Automates approvals, reducing loan turnaround time.</w:t>
      </w:r>
    </w:p>
    <w:p w14:paraId="452A2033" w14:textId="77777777" w:rsidR="0059312B" w:rsidRPr="0059312B" w:rsidRDefault="0059312B" w:rsidP="0059312B">
      <w:pPr>
        <w:pStyle w:val="Heading1"/>
        <w:numPr>
          <w:ilvl w:val="0"/>
          <w:numId w:val="14"/>
        </w:numPr>
        <w:spacing w:before="0"/>
        <w:jc w:val="both"/>
        <w:rPr>
          <w:rFonts w:asciiTheme="minorHAnsi" w:eastAsia="Cambria" w:hAnsiTheme="minorHAnsi" w:cstheme="minorHAnsi"/>
          <w:b w:val="0"/>
          <w:bCs w:val="0"/>
          <w:sz w:val="22"/>
          <w:szCs w:val="22"/>
        </w:rPr>
      </w:pPr>
      <w:r w:rsidRPr="0059312B">
        <w:rPr>
          <w:rFonts w:ascii="Segoe UI Symbol" w:eastAsia="Cambria" w:hAnsi="Segoe UI Symbol" w:cs="Segoe UI Symbol"/>
          <w:b w:val="0"/>
          <w:bCs w:val="0"/>
          <w:sz w:val="22"/>
          <w:szCs w:val="22"/>
        </w:rPr>
        <w:t>✔</w:t>
      </w:r>
      <w:r w:rsidRPr="0059312B">
        <w:rPr>
          <w:rFonts w:asciiTheme="minorHAnsi" w:eastAsia="Cambria" w:hAnsiTheme="minorHAnsi" w:cstheme="minorHAnsi"/>
          <w:b w:val="0"/>
          <w:bCs w:val="0"/>
          <w:sz w:val="22"/>
          <w:szCs w:val="22"/>
        </w:rPr>
        <w:t xml:space="preserve"> Transparency – Customers receive real-time updates on application status.</w:t>
      </w:r>
    </w:p>
    <w:p w14:paraId="7C221A77" w14:textId="77777777" w:rsidR="0059312B" w:rsidRPr="0059312B" w:rsidRDefault="0059312B" w:rsidP="0059312B">
      <w:pPr>
        <w:pStyle w:val="Heading1"/>
        <w:numPr>
          <w:ilvl w:val="0"/>
          <w:numId w:val="14"/>
        </w:numPr>
        <w:spacing w:before="0"/>
        <w:jc w:val="both"/>
        <w:rPr>
          <w:rFonts w:asciiTheme="minorHAnsi" w:eastAsia="Cambria" w:hAnsiTheme="minorHAnsi" w:cstheme="minorHAnsi"/>
          <w:b w:val="0"/>
          <w:bCs w:val="0"/>
          <w:sz w:val="22"/>
          <w:szCs w:val="22"/>
        </w:rPr>
      </w:pPr>
      <w:r w:rsidRPr="0059312B">
        <w:rPr>
          <w:rFonts w:ascii="Segoe UI Symbol" w:eastAsia="Cambria" w:hAnsi="Segoe UI Symbol" w:cs="Segoe UI Symbol"/>
          <w:b w:val="0"/>
          <w:bCs w:val="0"/>
          <w:sz w:val="22"/>
          <w:szCs w:val="22"/>
        </w:rPr>
        <w:t>✔</w:t>
      </w:r>
      <w:r w:rsidRPr="0059312B">
        <w:rPr>
          <w:rFonts w:asciiTheme="minorHAnsi" w:eastAsia="Cambria" w:hAnsiTheme="minorHAnsi" w:cstheme="minorHAnsi"/>
          <w:b w:val="0"/>
          <w:bCs w:val="0"/>
          <w:sz w:val="22"/>
          <w:szCs w:val="22"/>
        </w:rPr>
        <w:t xml:space="preserve"> Compliance &amp; Security – Integrated KYC/credit checks ensure regulatory compliance.</w:t>
      </w:r>
    </w:p>
    <w:p w14:paraId="435E548C" w14:textId="77777777" w:rsidR="0059312B" w:rsidRPr="0059312B" w:rsidRDefault="0059312B" w:rsidP="0059312B">
      <w:pPr>
        <w:pStyle w:val="Heading1"/>
        <w:numPr>
          <w:ilvl w:val="0"/>
          <w:numId w:val="14"/>
        </w:numPr>
        <w:spacing w:before="0"/>
        <w:jc w:val="both"/>
        <w:rPr>
          <w:rFonts w:asciiTheme="minorHAnsi" w:eastAsia="Cambria" w:hAnsiTheme="minorHAnsi" w:cstheme="minorHAnsi"/>
          <w:b w:val="0"/>
          <w:bCs w:val="0"/>
          <w:sz w:val="22"/>
          <w:szCs w:val="22"/>
        </w:rPr>
      </w:pPr>
      <w:r w:rsidRPr="0059312B">
        <w:rPr>
          <w:rFonts w:ascii="Segoe UI Symbol" w:eastAsia="Cambria" w:hAnsi="Segoe UI Symbol" w:cs="Segoe UI Symbol"/>
          <w:b w:val="0"/>
          <w:bCs w:val="0"/>
          <w:sz w:val="22"/>
          <w:szCs w:val="22"/>
        </w:rPr>
        <w:t>✔</w:t>
      </w:r>
      <w:r w:rsidRPr="0059312B">
        <w:rPr>
          <w:rFonts w:asciiTheme="minorHAnsi" w:eastAsia="Cambria" w:hAnsiTheme="minorHAnsi" w:cstheme="minorHAnsi"/>
          <w:b w:val="0"/>
          <w:bCs w:val="0"/>
          <w:sz w:val="22"/>
          <w:szCs w:val="22"/>
        </w:rPr>
        <w:t xml:space="preserve"> Customer Retention – Timely EMI reminders and proactive support improve trust.</w:t>
      </w:r>
    </w:p>
    <w:p w14:paraId="14DE4884" w14:textId="77777777" w:rsidR="0059312B" w:rsidRPr="0059312B" w:rsidRDefault="0059312B" w:rsidP="0059312B">
      <w:pPr>
        <w:pStyle w:val="Heading1"/>
        <w:numPr>
          <w:ilvl w:val="0"/>
          <w:numId w:val="14"/>
        </w:numPr>
        <w:spacing w:before="0"/>
        <w:jc w:val="both"/>
        <w:rPr>
          <w:rFonts w:asciiTheme="minorHAnsi" w:eastAsia="Cambria" w:hAnsiTheme="minorHAnsi" w:cstheme="minorHAnsi"/>
          <w:b w:val="0"/>
          <w:bCs w:val="0"/>
          <w:sz w:val="22"/>
          <w:szCs w:val="22"/>
        </w:rPr>
      </w:pPr>
      <w:r w:rsidRPr="0059312B">
        <w:rPr>
          <w:rFonts w:ascii="Segoe UI Symbol" w:eastAsia="Cambria" w:hAnsi="Segoe UI Symbol" w:cs="Segoe UI Symbol"/>
          <w:b w:val="0"/>
          <w:bCs w:val="0"/>
          <w:sz w:val="22"/>
          <w:szCs w:val="22"/>
        </w:rPr>
        <w:t>✔</w:t>
      </w:r>
      <w:r w:rsidRPr="0059312B">
        <w:rPr>
          <w:rFonts w:asciiTheme="minorHAnsi" w:eastAsia="Cambria" w:hAnsiTheme="minorHAnsi" w:cstheme="minorHAnsi"/>
          <w:b w:val="0"/>
          <w:bCs w:val="0"/>
          <w:sz w:val="22"/>
          <w:szCs w:val="22"/>
        </w:rPr>
        <w:t xml:space="preserve"> Management Insights – Dashboards enable data-driven decisions on loan policies.</w:t>
      </w:r>
    </w:p>
    <w:p w14:paraId="2E90B8A3" w14:textId="77777777" w:rsidR="001D30CC" w:rsidRDefault="001D30CC" w:rsidP="0059312B">
      <w:pPr>
        <w:pStyle w:val="Heading1"/>
        <w:spacing w:before="199"/>
        <w:rPr>
          <w:color w:val="4F81BC"/>
          <w:spacing w:val="-2"/>
        </w:rPr>
      </w:pPr>
    </w:p>
    <w:p w14:paraId="0108000A" w14:textId="77777777" w:rsidR="0075359C" w:rsidRDefault="0059312B" w:rsidP="0059312B">
      <w:pPr>
        <w:pStyle w:val="Heading1"/>
        <w:spacing w:before="199"/>
      </w:pPr>
      <w:r>
        <w:rPr>
          <w:color w:val="4F81BC"/>
          <w:spacing w:val="-2"/>
        </w:rPr>
        <w:t>Long-Term</w:t>
      </w:r>
      <w:r>
        <w:rPr>
          <w:color w:val="4F81BC"/>
          <w:spacing w:val="2"/>
        </w:rPr>
        <w:t xml:space="preserve"> </w:t>
      </w:r>
      <w:r>
        <w:rPr>
          <w:color w:val="4F81BC"/>
          <w:spacing w:val="-2"/>
        </w:rPr>
        <w:t>Vision</w:t>
      </w:r>
    </w:p>
    <w:p w14:paraId="2AF6234D" w14:textId="77777777" w:rsidR="0059312B" w:rsidRDefault="0059312B" w:rsidP="0059312B">
      <w:pPr>
        <w:pStyle w:val="Heading1"/>
        <w:spacing w:before="197"/>
        <w:jc w:val="both"/>
        <w:rPr>
          <w:rFonts w:ascii="Cambria" w:eastAsia="Cambria" w:hAnsi="Cambria" w:cs="Cambria"/>
          <w:b w:val="0"/>
          <w:bCs w:val="0"/>
          <w:sz w:val="22"/>
          <w:szCs w:val="22"/>
        </w:rPr>
      </w:pPr>
      <w:r w:rsidRPr="0059312B">
        <w:rPr>
          <w:rFonts w:ascii="Cambria" w:eastAsia="Cambria" w:hAnsi="Cambria" w:cs="Cambria"/>
          <w:b w:val="0"/>
          <w:bCs w:val="0"/>
          <w:sz w:val="22"/>
          <w:szCs w:val="22"/>
        </w:rPr>
        <w:t>The vision of FinServe is to build a fully digital Banking-as-a-Service (BaaS) layer on Salesforce that can be scaled to multiple financial products — from personal loans and credit cards to mortgages and corporate financing. By integrating AI for risk scoring and predictive analytics, FinServe can become a next-gen intelligent financial CRM platform.</w:t>
      </w:r>
    </w:p>
    <w:p w14:paraId="3FB50622" w14:textId="77777777" w:rsidR="001D30CC" w:rsidRDefault="001D30CC">
      <w:pPr>
        <w:pStyle w:val="Heading1"/>
        <w:spacing w:before="197"/>
        <w:rPr>
          <w:color w:val="4F81BC"/>
        </w:rPr>
      </w:pPr>
    </w:p>
    <w:p w14:paraId="1EB91E6F" w14:textId="77777777" w:rsidR="0075359C" w:rsidRDefault="0059312B">
      <w:pPr>
        <w:pStyle w:val="Heading1"/>
        <w:spacing w:before="197"/>
      </w:pPr>
      <w:r>
        <w:rPr>
          <w:color w:val="4F81BC"/>
        </w:rPr>
        <w:t>What</w:t>
      </w:r>
      <w:r>
        <w:rPr>
          <w:color w:val="4F81BC"/>
          <w:spacing w:val="-8"/>
        </w:rPr>
        <w:t xml:space="preserve"> </w:t>
      </w:r>
      <w:r>
        <w:rPr>
          <w:color w:val="4F81BC"/>
        </w:rPr>
        <w:t>Sets</w:t>
      </w:r>
      <w:r>
        <w:rPr>
          <w:color w:val="4F81BC"/>
          <w:spacing w:val="-6"/>
        </w:rPr>
        <w:t xml:space="preserve"> </w:t>
      </w:r>
      <w:r>
        <w:rPr>
          <w:color w:val="4F81BC"/>
        </w:rPr>
        <w:t>Us</w:t>
      </w:r>
      <w:r>
        <w:rPr>
          <w:color w:val="4F81BC"/>
          <w:spacing w:val="-6"/>
        </w:rPr>
        <w:t xml:space="preserve"> </w:t>
      </w:r>
      <w:r>
        <w:rPr>
          <w:color w:val="4F81BC"/>
        </w:rPr>
        <w:t>Apart</w:t>
      </w:r>
      <w:r>
        <w:rPr>
          <w:color w:val="4F81BC"/>
          <w:spacing w:val="-9"/>
        </w:rPr>
        <w:t xml:space="preserve"> </w:t>
      </w:r>
      <w:r>
        <w:rPr>
          <w:color w:val="4F81BC"/>
        </w:rPr>
        <w:t>from</w:t>
      </w:r>
      <w:r>
        <w:rPr>
          <w:color w:val="4F81BC"/>
          <w:spacing w:val="-7"/>
        </w:rPr>
        <w:t xml:space="preserve"> </w:t>
      </w:r>
      <w:r>
        <w:rPr>
          <w:color w:val="4F81BC"/>
        </w:rPr>
        <w:t>Existing</w:t>
      </w:r>
      <w:r>
        <w:rPr>
          <w:color w:val="4F81BC"/>
          <w:spacing w:val="-6"/>
        </w:rPr>
        <w:t xml:space="preserve"> </w:t>
      </w:r>
      <w:r>
        <w:rPr>
          <w:color w:val="4F81BC"/>
          <w:spacing w:val="-2"/>
        </w:rPr>
        <w:t>Solutions</w:t>
      </w:r>
    </w:p>
    <w:p w14:paraId="3ED13C7A" w14:textId="77777777" w:rsidR="0059312B" w:rsidRDefault="0059312B" w:rsidP="0059312B">
      <w:pPr>
        <w:pStyle w:val="BodyText"/>
        <w:numPr>
          <w:ilvl w:val="0"/>
          <w:numId w:val="13"/>
        </w:numPr>
        <w:spacing w:before="50" w:line="276" w:lineRule="auto"/>
        <w:ind w:right="82"/>
      </w:pPr>
      <w:r>
        <w:rPr>
          <w:rFonts w:ascii="Segoe UI Symbol" w:hAnsi="Segoe UI Symbol" w:cs="Segoe UI Symbol"/>
        </w:rPr>
        <w:t>✔</w:t>
      </w:r>
      <w:r>
        <w:t xml:space="preserve"> End-to-end automation (application, KYC, EMI, support) in a single platform.</w:t>
      </w:r>
    </w:p>
    <w:p w14:paraId="7C09D7FA" w14:textId="77777777" w:rsidR="0059312B" w:rsidRDefault="0059312B" w:rsidP="0059312B">
      <w:pPr>
        <w:pStyle w:val="BodyText"/>
        <w:numPr>
          <w:ilvl w:val="0"/>
          <w:numId w:val="13"/>
        </w:numPr>
        <w:spacing w:before="50" w:line="276" w:lineRule="auto"/>
        <w:ind w:right="82"/>
      </w:pPr>
      <w:r>
        <w:rPr>
          <w:rFonts w:ascii="Segoe UI Symbol" w:hAnsi="Segoe UI Symbol" w:cs="Segoe UI Symbol"/>
        </w:rPr>
        <w:t>✔</w:t>
      </w:r>
      <w:r>
        <w:t xml:space="preserve"> Built natively on Salesforce for scalability and security.</w:t>
      </w:r>
    </w:p>
    <w:p w14:paraId="20AF92D9" w14:textId="77777777" w:rsidR="0059312B" w:rsidRDefault="0059312B" w:rsidP="0059312B">
      <w:pPr>
        <w:pStyle w:val="BodyText"/>
        <w:numPr>
          <w:ilvl w:val="0"/>
          <w:numId w:val="13"/>
        </w:numPr>
        <w:spacing w:before="50" w:line="276" w:lineRule="auto"/>
        <w:ind w:right="82"/>
      </w:pPr>
      <w:r>
        <w:rPr>
          <w:rFonts w:ascii="Segoe UI Symbol" w:hAnsi="Segoe UI Symbol" w:cs="Segoe UI Symbol"/>
        </w:rPr>
        <w:t>✔</w:t>
      </w:r>
      <w:r>
        <w:t xml:space="preserve"> Real-time dashboards that track both customer activity and internal performance.</w:t>
      </w:r>
    </w:p>
    <w:p w14:paraId="0AA16095" w14:textId="77777777" w:rsidR="0059312B" w:rsidRDefault="0059312B" w:rsidP="0059312B">
      <w:pPr>
        <w:pStyle w:val="BodyText"/>
        <w:numPr>
          <w:ilvl w:val="0"/>
          <w:numId w:val="13"/>
        </w:numPr>
        <w:spacing w:before="50" w:line="276" w:lineRule="auto"/>
        <w:ind w:right="82"/>
      </w:pPr>
      <w:r>
        <w:rPr>
          <w:rFonts w:ascii="Segoe UI Symbol" w:hAnsi="Segoe UI Symbol" w:cs="Segoe UI Symbol"/>
        </w:rPr>
        <w:t>✔</w:t>
      </w:r>
      <w:r>
        <w:t xml:space="preserve"> Customizable workflows for different loan types and approval hierarchies.</w:t>
      </w:r>
    </w:p>
    <w:p w14:paraId="6C02EE1F" w14:textId="77777777" w:rsidR="0059312B" w:rsidRDefault="0059312B" w:rsidP="0059312B">
      <w:pPr>
        <w:pStyle w:val="BodyText"/>
        <w:numPr>
          <w:ilvl w:val="0"/>
          <w:numId w:val="13"/>
        </w:numPr>
        <w:spacing w:before="50" w:line="276" w:lineRule="auto"/>
        <w:ind w:right="82"/>
      </w:pPr>
      <w:r>
        <w:rPr>
          <w:rFonts w:ascii="Segoe UI Symbol" w:hAnsi="Segoe UI Symbol" w:cs="Segoe UI Symbol"/>
        </w:rPr>
        <w:t>✔</w:t>
      </w:r>
      <w:r>
        <w:t xml:space="preserve"> Omni-channel communication (web, mobile, email, SMS).</w:t>
      </w:r>
    </w:p>
    <w:p w14:paraId="47760BBB" w14:textId="77777777" w:rsidR="0075359C" w:rsidRDefault="0075359C" w:rsidP="0059312B">
      <w:pPr>
        <w:pStyle w:val="BodyText"/>
        <w:spacing w:before="50" w:line="276" w:lineRule="auto"/>
        <w:ind w:right="82"/>
      </w:pPr>
    </w:p>
    <w:sectPr w:rsidR="0075359C" w:rsidSect="0059312B">
      <w:type w:val="continuous"/>
      <w:pgSz w:w="12240" w:h="15840"/>
      <w:pgMar w:top="140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9A3"/>
    <w:multiLevelType w:val="hybridMultilevel"/>
    <w:tmpl w:val="FD5E9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D1B16"/>
    <w:multiLevelType w:val="hybridMultilevel"/>
    <w:tmpl w:val="B1AA4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164679"/>
    <w:multiLevelType w:val="hybridMultilevel"/>
    <w:tmpl w:val="8D463C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D237DB"/>
    <w:multiLevelType w:val="hybridMultilevel"/>
    <w:tmpl w:val="F5B8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B3882"/>
    <w:multiLevelType w:val="hybridMultilevel"/>
    <w:tmpl w:val="310C0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7A0096"/>
    <w:multiLevelType w:val="hybridMultilevel"/>
    <w:tmpl w:val="2B6E9018"/>
    <w:lvl w:ilvl="0" w:tplc="8862A9FA">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6472D16E">
      <w:numFmt w:val="bullet"/>
      <w:lvlText w:val="•"/>
      <w:lvlJc w:val="left"/>
      <w:pPr>
        <w:ind w:left="1548" w:hanging="360"/>
      </w:pPr>
      <w:rPr>
        <w:rFonts w:hint="default"/>
        <w:lang w:val="en-US" w:eastAsia="en-US" w:bidi="ar-SA"/>
      </w:rPr>
    </w:lvl>
    <w:lvl w:ilvl="2" w:tplc="16147A70">
      <w:numFmt w:val="bullet"/>
      <w:lvlText w:val="•"/>
      <w:lvlJc w:val="left"/>
      <w:pPr>
        <w:ind w:left="2376" w:hanging="360"/>
      </w:pPr>
      <w:rPr>
        <w:rFonts w:hint="default"/>
        <w:lang w:val="en-US" w:eastAsia="en-US" w:bidi="ar-SA"/>
      </w:rPr>
    </w:lvl>
    <w:lvl w:ilvl="3" w:tplc="86980364">
      <w:numFmt w:val="bullet"/>
      <w:lvlText w:val="•"/>
      <w:lvlJc w:val="left"/>
      <w:pPr>
        <w:ind w:left="3204" w:hanging="360"/>
      </w:pPr>
      <w:rPr>
        <w:rFonts w:hint="default"/>
        <w:lang w:val="en-US" w:eastAsia="en-US" w:bidi="ar-SA"/>
      </w:rPr>
    </w:lvl>
    <w:lvl w:ilvl="4" w:tplc="9274D7EE">
      <w:numFmt w:val="bullet"/>
      <w:lvlText w:val="•"/>
      <w:lvlJc w:val="left"/>
      <w:pPr>
        <w:ind w:left="4032" w:hanging="360"/>
      </w:pPr>
      <w:rPr>
        <w:rFonts w:hint="default"/>
        <w:lang w:val="en-US" w:eastAsia="en-US" w:bidi="ar-SA"/>
      </w:rPr>
    </w:lvl>
    <w:lvl w:ilvl="5" w:tplc="70B2C4DA">
      <w:numFmt w:val="bullet"/>
      <w:lvlText w:val="•"/>
      <w:lvlJc w:val="left"/>
      <w:pPr>
        <w:ind w:left="4860" w:hanging="360"/>
      </w:pPr>
      <w:rPr>
        <w:rFonts w:hint="default"/>
        <w:lang w:val="en-US" w:eastAsia="en-US" w:bidi="ar-SA"/>
      </w:rPr>
    </w:lvl>
    <w:lvl w:ilvl="6" w:tplc="6308AD58">
      <w:numFmt w:val="bullet"/>
      <w:lvlText w:val="•"/>
      <w:lvlJc w:val="left"/>
      <w:pPr>
        <w:ind w:left="5688" w:hanging="360"/>
      </w:pPr>
      <w:rPr>
        <w:rFonts w:hint="default"/>
        <w:lang w:val="en-US" w:eastAsia="en-US" w:bidi="ar-SA"/>
      </w:rPr>
    </w:lvl>
    <w:lvl w:ilvl="7" w:tplc="A63A7B56">
      <w:numFmt w:val="bullet"/>
      <w:lvlText w:val="•"/>
      <w:lvlJc w:val="left"/>
      <w:pPr>
        <w:ind w:left="6516" w:hanging="360"/>
      </w:pPr>
      <w:rPr>
        <w:rFonts w:hint="default"/>
        <w:lang w:val="en-US" w:eastAsia="en-US" w:bidi="ar-SA"/>
      </w:rPr>
    </w:lvl>
    <w:lvl w:ilvl="8" w:tplc="0AE0B286">
      <w:numFmt w:val="bullet"/>
      <w:lvlText w:val="•"/>
      <w:lvlJc w:val="left"/>
      <w:pPr>
        <w:ind w:left="7344" w:hanging="360"/>
      </w:pPr>
      <w:rPr>
        <w:rFonts w:hint="default"/>
        <w:lang w:val="en-US" w:eastAsia="en-US" w:bidi="ar-SA"/>
      </w:rPr>
    </w:lvl>
  </w:abstractNum>
  <w:abstractNum w:abstractNumId="6" w15:restartNumberingAfterBreak="0">
    <w:nsid w:val="262D381D"/>
    <w:multiLevelType w:val="hybridMultilevel"/>
    <w:tmpl w:val="F5E05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856936"/>
    <w:multiLevelType w:val="hybridMultilevel"/>
    <w:tmpl w:val="1EEC96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0C4337"/>
    <w:multiLevelType w:val="multilevel"/>
    <w:tmpl w:val="A502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E4D55"/>
    <w:multiLevelType w:val="hybridMultilevel"/>
    <w:tmpl w:val="0BC85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7A4C81"/>
    <w:multiLevelType w:val="hybridMultilevel"/>
    <w:tmpl w:val="5308E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450EAF"/>
    <w:multiLevelType w:val="hybridMultilevel"/>
    <w:tmpl w:val="02E2F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6911353"/>
    <w:multiLevelType w:val="hybridMultilevel"/>
    <w:tmpl w:val="F25A0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C621AB7"/>
    <w:multiLevelType w:val="hybridMultilevel"/>
    <w:tmpl w:val="4A4E1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CD6C16"/>
    <w:multiLevelType w:val="hybridMultilevel"/>
    <w:tmpl w:val="CEBE0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1047851">
    <w:abstractNumId w:val="5"/>
  </w:num>
  <w:num w:numId="2" w16cid:durableId="332689655">
    <w:abstractNumId w:val="11"/>
  </w:num>
  <w:num w:numId="3" w16cid:durableId="2139756211">
    <w:abstractNumId w:val="14"/>
  </w:num>
  <w:num w:numId="4" w16cid:durableId="120466625">
    <w:abstractNumId w:val="3"/>
  </w:num>
  <w:num w:numId="5" w16cid:durableId="726414802">
    <w:abstractNumId w:val="1"/>
  </w:num>
  <w:num w:numId="6" w16cid:durableId="442961429">
    <w:abstractNumId w:val="8"/>
  </w:num>
  <w:num w:numId="7" w16cid:durableId="779641858">
    <w:abstractNumId w:val="2"/>
  </w:num>
  <w:num w:numId="8" w16cid:durableId="773088465">
    <w:abstractNumId w:val="4"/>
  </w:num>
  <w:num w:numId="9" w16cid:durableId="1377047253">
    <w:abstractNumId w:val="12"/>
  </w:num>
  <w:num w:numId="10" w16cid:durableId="563375434">
    <w:abstractNumId w:val="7"/>
  </w:num>
  <w:num w:numId="11" w16cid:durableId="729153588">
    <w:abstractNumId w:val="13"/>
  </w:num>
  <w:num w:numId="12" w16cid:durableId="537202653">
    <w:abstractNumId w:val="6"/>
  </w:num>
  <w:num w:numId="13" w16cid:durableId="1688409915">
    <w:abstractNumId w:val="9"/>
  </w:num>
  <w:num w:numId="14" w16cid:durableId="1059130991">
    <w:abstractNumId w:val="10"/>
  </w:num>
  <w:num w:numId="15" w16cid:durableId="148053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C"/>
    <w:rsid w:val="001A4097"/>
    <w:rsid w:val="001D30CC"/>
    <w:rsid w:val="0059312B"/>
    <w:rsid w:val="0075359C"/>
    <w:rsid w:val="007F644C"/>
    <w:rsid w:val="00CC74E5"/>
    <w:rsid w:val="00EB333F"/>
    <w:rsid w:val="00F0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40A3"/>
  <w15:docId w15:val="{4A3FCEE7-FBEC-4936-BBBA-56D5494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37"/>
      <w:ind w:left="360"/>
      <w:outlineLvl w:val="0"/>
    </w:pPr>
    <w:rPr>
      <w:rFonts w:ascii="Calibri" w:eastAsia="Calibri" w:hAnsi="Calibri" w:cs="Calibri"/>
      <w:b/>
      <w:bCs/>
      <w:sz w:val="26"/>
      <w:szCs w:val="26"/>
    </w:rPr>
  </w:style>
  <w:style w:type="paragraph" w:styleId="Heading2">
    <w:name w:val="heading 2"/>
    <w:basedOn w:val="Normal"/>
    <w:uiPriority w:val="1"/>
    <w:qFormat/>
    <w:pPr>
      <w:spacing w:before="201"/>
      <w:ind w:left="360"/>
      <w:outlineLvl w:val="1"/>
    </w:pPr>
    <w:rPr>
      <w:rFonts w:ascii="Calibri" w:eastAsia="Calibri" w:hAnsi="Calibri" w:cs="Calibri"/>
      <w:b/>
      <w:bCs/>
    </w:rPr>
  </w:style>
  <w:style w:type="paragraph" w:styleId="Heading3">
    <w:name w:val="heading 3"/>
    <w:basedOn w:val="Normal"/>
    <w:next w:val="Normal"/>
    <w:link w:val="Heading3Char"/>
    <w:uiPriority w:val="9"/>
    <w:semiHidden/>
    <w:unhideWhenUsed/>
    <w:qFormat/>
    <w:rsid w:val="00F0017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4"/>
      <w:ind w:left="360"/>
    </w:pPr>
  </w:style>
  <w:style w:type="paragraph" w:styleId="Title">
    <w:name w:val="Title"/>
    <w:basedOn w:val="Normal"/>
    <w:uiPriority w:val="1"/>
    <w:qFormat/>
    <w:pPr>
      <w:spacing w:line="614" w:lineRule="exact"/>
      <w:ind w:left="360"/>
    </w:pPr>
    <w:rPr>
      <w:rFonts w:ascii="Calibri" w:eastAsia="Calibri" w:hAnsi="Calibri" w:cs="Calibri"/>
      <w:sz w:val="52"/>
      <w:szCs w:val="52"/>
    </w:rPr>
  </w:style>
  <w:style w:type="paragraph" w:styleId="ListParagraph">
    <w:name w:val="List Paragraph"/>
    <w:basedOn w:val="Normal"/>
    <w:uiPriority w:val="1"/>
    <w:qFormat/>
    <w:pPr>
      <w:spacing w:before="43"/>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0017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76012">
      <w:bodyDiv w:val="1"/>
      <w:marLeft w:val="0"/>
      <w:marRight w:val="0"/>
      <w:marTop w:val="0"/>
      <w:marBottom w:val="0"/>
      <w:divBdr>
        <w:top w:val="none" w:sz="0" w:space="0" w:color="auto"/>
        <w:left w:val="none" w:sz="0" w:space="0" w:color="auto"/>
        <w:bottom w:val="none" w:sz="0" w:space="0" w:color="auto"/>
        <w:right w:val="none" w:sz="0" w:space="0" w:color="auto"/>
      </w:divBdr>
    </w:div>
    <w:div w:id="1215628679">
      <w:bodyDiv w:val="1"/>
      <w:marLeft w:val="0"/>
      <w:marRight w:val="0"/>
      <w:marTop w:val="0"/>
      <w:marBottom w:val="0"/>
      <w:divBdr>
        <w:top w:val="none" w:sz="0" w:space="0" w:color="auto"/>
        <w:left w:val="none" w:sz="0" w:space="0" w:color="auto"/>
        <w:bottom w:val="none" w:sz="0" w:space="0" w:color="auto"/>
        <w:right w:val="none" w:sz="0" w:space="0" w:color="auto"/>
      </w:divBdr>
    </w:div>
    <w:div w:id="1246187510">
      <w:bodyDiv w:val="1"/>
      <w:marLeft w:val="0"/>
      <w:marRight w:val="0"/>
      <w:marTop w:val="0"/>
      <w:marBottom w:val="0"/>
      <w:divBdr>
        <w:top w:val="none" w:sz="0" w:space="0" w:color="auto"/>
        <w:left w:val="none" w:sz="0" w:space="0" w:color="auto"/>
        <w:bottom w:val="none" w:sz="0" w:space="0" w:color="auto"/>
        <w:right w:val="none" w:sz="0" w:space="0" w:color="auto"/>
      </w:divBdr>
    </w:div>
    <w:div w:id="1249194650">
      <w:bodyDiv w:val="1"/>
      <w:marLeft w:val="0"/>
      <w:marRight w:val="0"/>
      <w:marTop w:val="0"/>
      <w:marBottom w:val="0"/>
      <w:divBdr>
        <w:top w:val="none" w:sz="0" w:space="0" w:color="auto"/>
        <w:left w:val="none" w:sz="0" w:space="0" w:color="auto"/>
        <w:bottom w:val="none" w:sz="0" w:space="0" w:color="auto"/>
        <w:right w:val="none" w:sz="0" w:space="0" w:color="auto"/>
      </w:divBdr>
    </w:div>
    <w:div w:id="1993020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683</Words>
  <Characters>3895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koushik naidu</cp:lastModifiedBy>
  <cp:revision>2</cp:revision>
  <dcterms:created xsi:type="dcterms:W3CDTF">2025-09-11T16:01:00Z</dcterms:created>
  <dcterms:modified xsi:type="dcterms:W3CDTF">2025-09-11T16:01:00Z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for Microsoft 365</vt:lpwstr>
  </property>
  <property fmtid="{D5CDD505-2E9C-101B-9397-08002B2CF9AE}" pid="4" name="LastSaved">
    <vt:filetime>2025-09-11T00:00:00Z</vt:filetime>
  </property>
  <property fmtid="{D5CDD505-2E9C-101B-9397-08002B2CF9AE}" pid="5" name="Producer">
    <vt:lpwstr>Microsoft® Word for Microsoft 365</vt:lpwstr>
  </property>
</Properties>
</file>