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ADE29" w14:textId="0050EB6D" w:rsidR="00B5042A" w:rsidRDefault="00B5042A" w:rsidP="00B5042A">
      <w:pPr>
        <w:pStyle w:val="NormalWeb"/>
        <w:shd w:val="clear" w:color="auto" w:fill="FFFFFF"/>
        <w:spacing w:before="0" w:beforeAutospacing="0" w:after="180" w:afterAutospacing="0"/>
        <w:rPr>
          <w:rFonts w:ascii="Arial" w:hAnsi="Arial" w:cs="Arial"/>
          <w:color w:val="444444"/>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15"/>
        <w:gridCol w:w="766"/>
        <w:gridCol w:w="165"/>
        <w:gridCol w:w="80"/>
        <w:gridCol w:w="555"/>
        <w:gridCol w:w="329"/>
        <w:gridCol w:w="450"/>
        <w:gridCol w:w="445"/>
        <w:gridCol w:w="35"/>
        <w:gridCol w:w="4314"/>
      </w:tblGrid>
      <w:tr w:rsidR="00B5042A" w14:paraId="34DC6F83" w14:textId="77777777" w:rsidTr="00B5042A">
        <w:tc>
          <w:tcPr>
            <w:tcW w:w="22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659AF12" w14:textId="77777777" w:rsidR="00B5042A" w:rsidRDefault="00B5042A">
            <w:pPr>
              <w:pStyle w:val="NormalWeb"/>
              <w:spacing w:before="0" w:beforeAutospacing="0" w:after="0" w:afterAutospacing="0"/>
              <w:rPr>
                <w:color w:val="444444"/>
              </w:rPr>
            </w:pPr>
            <w:r>
              <w:rPr>
                <w:b/>
                <w:bCs/>
                <w:color w:val="000000"/>
                <w:u w:val="single"/>
              </w:rPr>
              <w:t>Subsector</w:t>
            </w:r>
          </w:p>
        </w:tc>
        <w:tc>
          <w:tcPr>
            <w:tcW w:w="1038" w:type="dxa"/>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9E4033" w14:textId="77777777" w:rsidR="00B5042A" w:rsidRDefault="00B5042A">
            <w:pPr>
              <w:pStyle w:val="NormalWeb"/>
              <w:spacing w:before="0" w:beforeAutospacing="0" w:after="0" w:afterAutospacing="0"/>
              <w:jc w:val="right"/>
              <w:rPr>
                <w:color w:val="444444"/>
              </w:rPr>
            </w:pPr>
            <w:r>
              <w:rPr>
                <w:b/>
                <w:bCs/>
                <w:color w:val="000000"/>
                <w:u w:val="single"/>
              </w:rPr>
              <w:t>Dec '22</w:t>
            </w:r>
          </w:p>
        </w:tc>
        <w:tc>
          <w:tcPr>
            <w:tcW w:w="8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11A543" w14:textId="77777777" w:rsidR="00B5042A" w:rsidRDefault="00B5042A">
            <w:pPr>
              <w:pStyle w:val="NormalWeb"/>
              <w:spacing w:before="0" w:beforeAutospacing="0" w:after="0" w:afterAutospacing="0"/>
              <w:jc w:val="right"/>
              <w:rPr>
                <w:color w:val="444444"/>
              </w:rPr>
            </w:pPr>
            <w:r>
              <w:rPr>
                <w:b/>
                <w:bCs/>
                <w:color w:val="000000"/>
                <w:u w:val="single"/>
              </w:rPr>
              <w:t>4Q TD %</w:t>
            </w:r>
          </w:p>
        </w:tc>
        <w:tc>
          <w:tcPr>
            <w:tcW w:w="90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FDF925" w14:textId="77777777" w:rsidR="00B5042A" w:rsidRDefault="00B5042A">
            <w:pPr>
              <w:pStyle w:val="NormalWeb"/>
              <w:spacing w:before="0" w:beforeAutospacing="0" w:after="0" w:afterAutospacing="0"/>
              <w:jc w:val="right"/>
              <w:rPr>
                <w:color w:val="444444"/>
              </w:rPr>
            </w:pPr>
            <w:r>
              <w:rPr>
                <w:b/>
                <w:bCs/>
                <w:color w:val="000000"/>
                <w:u w:val="single"/>
              </w:rPr>
              <w:t>YTD %</w:t>
            </w:r>
          </w:p>
        </w:tc>
        <w:tc>
          <w:tcPr>
            <w:tcW w:w="4466" w:type="dxa"/>
            <w:gridSpan w:val="2"/>
            <w:tcBorders>
              <w:top w:val="single" w:sz="8" w:space="0" w:color="auto"/>
              <w:left w:val="nil"/>
              <w:bottom w:val="single" w:sz="8" w:space="0" w:color="auto"/>
              <w:right w:val="single" w:sz="8" w:space="0" w:color="auto"/>
            </w:tcBorders>
            <w:tcMar>
              <w:top w:w="0" w:type="dxa"/>
              <w:left w:w="0" w:type="dxa"/>
              <w:bottom w:w="0" w:type="dxa"/>
              <w:right w:w="0" w:type="dxa"/>
            </w:tcMar>
            <w:hideMark/>
          </w:tcPr>
          <w:p w14:paraId="6C4BD94E" w14:textId="77777777" w:rsidR="00B5042A" w:rsidRDefault="00B5042A">
            <w:pPr>
              <w:pStyle w:val="NormalWeb"/>
              <w:spacing w:before="0" w:beforeAutospacing="0" w:after="0" w:afterAutospacing="0"/>
              <w:rPr>
                <w:color w:val="444444"/>
              </w:rPr>
            </w:pPr>
            <w:r>
              <w:rPr>
                <w:b/>
                <w:bCs/>
                <w:color w:val="000000"/>
                <w:u w:val="single"/>
              </w:rPr>
              <w:t>Sentiment, Themes, and Single Name Thoughts</w:t>
            </w:r>
          </w:p>
        </w:tc>
      </w:tr>
      <w:tr w:rsidR="00B5042A" w14:paraId="6350E07D" w14:textId="77777777" w:rsidTr="00B5042A">
        <w:tc>
          <w:tcPr>
            <w:tcW w:w="223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AEB6E8" w14:textId="77777777" w:rsidR="00B5042A" w:rsidRDefault="00B5042A">
            <w:pPr>
              <w:pStyle w:val="NormalWeb"/>
              <w:spacing w:before="0" w:beforeAutospacing="0" w:after="0" w:afterAutospacing="0"/>
              <w:rPr>
                <w:color w:val="444444"/>
              </w:rPr>
            </w:pPr>
            <w:r>
              <w:rPr>
                <w:color w:val="000000"/>
              </w:rPr>
              <w:t>Managed Care (S15MANH)</w:t>
            </w:r>
          </w:p>
        </w:tc>
        <w:tc>
          <w:tcPr>
            <w:tcW w:w="94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4AB8C3D" w14:textId="77777777" w:rsidR="00B5042A" w:rsidRDefault="00B5042A">
            <w:pPr>
              <w:pStyle w:val="NormalWeb"/>
              <w:spacing w:before="0" w:beforeAutospacing="0" w:after="0" w:afterAutospacing="0"/>
              <w:jc w:val="right"/>
              <w:rPr>
                <w:color w:val="444444"/>
              </w:rPr>
            </w:pPr>
            <w:r>
              <w:rPr>
                <w:color w:val="000000"/>
              </w:rPr>
              <w:t>13.50</w:t>
            </w:r>
          </w:p>
        </w:tc>
        <w:tc>
          <w:tcPr>
            <w:tcW w:w="96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542FF592" w14:textId="77777777" w:rsidR="00B5042A" w:rsidRDefault="00B5042A">
            <w:pPr>
              <w:pStyle w:val="NormalWeb"/>
              <w:spacing w:before="0" w:beforeAutospacing="0" w:after="0" w:afterAutospacing="0"/>
              <w:jc w:val="right"/>
              <w:rPr>
                <w:color w:val="444444"/>
              </w:rPr>
            </w:pPr>
            <w:r>
              <w:rPr>
                <w:color w:val="000000"/>
              </w:rPr>
              <w:t>25.79</w:t>
            </w:r>
          </w:p>
        </w:tc>
        <w:tc>
          <w:tcPr>
            <w:tcW w:w="9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4EECD414" w14:textId="77777777" w:rsidR="00B5042A" w:rsidRDefault="00B5042A">
            <w:pPr>
              <w:pStyle w:val="NormalWeb"/>
              <w:spacing w:before="0" w:beforeAutospacing="0" w:after="0" w:afterAutospacing="0"/>
              <w:jc w:val="right"/>
              <w:rPr>
                <w:color w:val="444444"/>
              </w:rPr>
            </w:pPr>
            <w:r>
              <w:rPr>
                <w:color w:val="000000"/>
              </w:rPr>
              <w:t>39.35</w:t>
            </w:r>
          </w:p>
        </w:tc>
        <w:tc>
          <w:tcPr>
            <w:tcW w:w="4439" w:type="dxa"/>
            <w:tcBorders>
              <w:top w:val="nil"/>
              <w:left w:val="nil"/>
              <w:bottom w:val="single" w:sz="8" w:space="0" w:color="auto"/>
              <w:right w:val="single" w:sz="8" w:space="0" w:color="auto"/>
            </w:tcBorders>
            <w:tcMar>
              <w:top w:w="0" w:type="dxa"/>
              <w:left w:w="0" w:type="dxa"/>
              <w:bottom w:w="0" w:type="dxa"/>
              <w:right w:w="0" w:type="dxa"/>
            </w:tcMar>
            <w:hideMark/>
          </w:tcPr>
          <w:p w14:paraId="6E90EEA3" w14:textId="77777777" w:rsidR="00B5042A" w:rsidRDefault="00B5042A">
            <w:pPr>
              <w:pStyle w:val="NormalWeb"/>
              <w:spacing w:before="0" w:beforeAutospacing="0" w:after="180" w:afterAutospacing="0"/>
              <w:rPr>
                <w:color w:val="444444"/>
              </w:rPr>
            </w:pPr>
            <w:r>
              <w:rPr>
                <w:color w:val="000000"/>
              </w:rPr>
              <w:t xml:space="preserve">25%+ rally in 4Q catalyzed by solid 3Q results (better MLR management after some 2Q noise) as well as increased confidence in 2022 guidance/consensus at both quarterly results as well as the handful of investor events in the last month.  The conversation with investors has once again gone from “do I want to own managed care” to “how many/which managed care names should I own?”  Generalists have also shown increased interest here, given the better visibility into 2022, and rotation out of some other growth sectors with </w:t>
            </w:r>
            <w:proofErr w:type="spellStart"/>
            <w:r>
              <w:rPr>
                <w:color w:val="000000"/>
              </w:rPr>
              <w:t>mgd</w:t>
            </w:r>
            <w:proofErr w:type="spellEnd"/>
            <w:r>
              <w:rPr>
                <w:color w:val="000000"/>
              </w:rPr>
              <w:t xml:space="preserve"> care still providing LT double digit EPS growth.  Favorite name UNH retains that position while investors jockey between HUM, ANTM (a 2021 favorite) and CNC (recently increasing long), and CI sentiment turning </w:t>
            </w:r>
            <w:proofErr w:type="gramStart"/>
            <w:r>
              <w:rPr>
                <w:color w:val="000000"/>
              </w:rPr>
              <w:t>more sour</w:t>
            </w:r>
            <w:proofErr w:type="gramEnd"/>
            <w:r>
              <w:rPr>
                <w:color w:val="000000"/>
              </w:rPr>
              <w:t xml:space="preserve"> over the last couple months as investors see a longer term path to turnaround (and potential needs for M&amp;A here).  Overall, group remains well positioned into 2022 with management teams focused on profitable growth, good MLR management/pricing, COVID already factored into guides, and growing end markets.</w:t>
            </w:r>
          </w:p>
          <w:p w14:paraId="491FC838" w14:textId="77777777" w:rsidR="00B5042A" w:rsidRDefault="00B5042A">
            <w:pPr>
              <w:pStyle w:val="NormalWeb"/>
              <w:spacing w:before="0" w:beforeAutospacing="0" w:after="0" w:afterAutospacing="0"/>
              <w:rPr>
                <w:color w:val="444444"/>
              </w:rPr>
            </w:pPr>
            <w:r>
              <w:rPr>
                <w:color w:val="000000"/>
              </w:rPr>
              <w:t>2022 Picks: UNH, HUM, CNC</w:t>
            </w:r>
          </w:p>
        </w:tc>
      </w:tr>
      <w:tr w:rsidR="00B5042A" w14:paraId="1A0486F8" w14:textId="77777777" w:rsidTr="00B5042A">
        <w:tc>
          <w:tcPr>
            <w:tcW w:w="224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0C0F493" w14:textId="77777777" w:rsidR="00B5042A" w:rsidRDefault="00B5042A">
            <w:pPr>
              <w:pStyle w:val="NormalWeb"/>
              <w:spacing w:before="0" w:beforeAutospacing="0" w:after="0" w:afterAutospacing="0"/>
              <w:rPr>
                <w:color w:val="444444"/>
              </w:rPr>
            </w:pPr>
            <w:r>
              <w:rPr>
                <w:b/>
                <w:bCs/>
                <w:color w:val="000000"/>
                <w:u w:val="single"/>
              </w:rPr>
              <w:t>Subsector</w:t>
            </w:r>
          </w:p>
        </w:tc>
        <w:tc>
          <w:tcPr>
            <w:tcW w:w="7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738B15" w14:textId="77777777" w:rsidR="00B5042A" w:rsidRDefault="00B5042A">
            <w:pPr>
              <w:pStyle w:val="NormalWeb"/>
              <w:spacing w:before="0" w:beforeAutospacing="0" w:after="0" w:afterAutospacing="0"/>
              <w:jc w:val="right"/>
              <w:rPr>
                <w:color w:val="444444"/>
              </w:rPr>
            </w:pPr>
            <w:r>
              <w:rPr>
                <w:b/>
                <w:bCs/>
                <w:color w:val="000000"/>
                <w:u w:val="single"/>
              </w:rPr>
              <w:t>Dec '22</w:t>
            </w:r>
          </w:p>
        </w:tc>
        <w:tc>
          <w:tcPr>
            <w:tcW w:w="8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ABA31B" w14:textId="77777777" w:rsidR="00B5042A" w:rsidRDefault="00B5042A">
            <w:pPr>
              <w:pStyle w:val="NormalWeb"/>
              <w:spacing w:before="0" w:beforeAutospacing="0" w:after="0" w:afterAutospacing="0"/>
              <w:jc w:val="right"/>
              <w:rPr>
                <w:color w:val="444444"/>
              </w:rPr>
            </w:pPr>
            <w:r>
              <w:rPr>
                <w:b/>
                <w:bCs/>
                <w:color w:val="000000"/>
                <w:u w:val="single"/>
              </w:rPr>
              <w:t>4Q TD %</w:t>
            </w:r>
          </w:p>
        </w:tc>
        <w:tc>
          <w:tcPr>
            <w:tcW w:w="78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9D3407" w14:textId="77777777" w:rsidR="00B5042A" w:rsidRDefault="00B5042A">
            <w:pPr>
              <w:pStyle w:val="NormalWeb"/>
              <w:spacing w:before="0" w:beforeAutospacing="0" w:after="0" w:afterAutospacing="0"/>
              <w:jc w:val="right"/>
              <w:rPr>
                <w:color w:val="444444"/>
              </w:rPr>
            </w:pPr>
            <w:r>
              <w:rPr>
                <w:b/>
                <w:bCs/>
                <w:color w:val="000000"/>
                <w:u w:val="single"/>
              </w:rPr>
              <w:t>YTD %</w:t>
            </w:r>
          </w:p>
        </w:tc>
        <w:tc>
          <w:tcPr>
            <w:tcW w:w="491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hideMark/>
          </w:tcPr>
          <w:p w14:paraId="1CE1B5B4" w14:textId="77777777" w:rsidR="00B5042A" w:rsidRDefault="00B5042A">
            <w:pPr>
              <w:pStyle w:val="NormalWeb"/>
              <w:spacing w:before="0" w:beforeAutospacing="0" w:after="0" w:afterAutospacing="0"/>
              <w:rPr>
                <w:color w:val="444444"/>
              </w:rPr>
            </w:pPr>
            <w:r>
              <w:rPr>
                <w:b/>
                <w:bCs/>
                <w:color w:val="000000"/>
                <w:u w:val="single"/>
              </w:rPr>
              <w:t>Sentiment, Themes, and Single Name Thoughts</w:t>
            </w:r>
          </w:p>
        </w:tc>
      </w:tr>
    </w:tbl>
    <w:p w14:paraId="3ABAA3FF" w14:textId="77777777" w:rsidR="00B5042A" w:rsidRDefault="00B5042A" w:rsidP="00B5042A">
      <w:pPr>
        <w:shd w:val="clear" w:color="auto" w:fill="FFFFFF"/>
        <w:rPr>
          <w:rFonts w:ascii="Arial" w:hAnsi="Arial" w:cs="Arial"/>
          <w:vanish/>
          <w:color w:val="1C1C1C"/>
        </w:rPr>
      </w:pPr>
    </w:p>
    <w:tbl>
      <w:tblPr>
        <w:tblW w:w="0" w:type="auto"/>
        <w:tblCellMar>
          <w:top w:w="15" w:type="dxa"/>
          <w:left w:w="15" w:type="dxa"/>
          <w:bottom w:w="15" w:type="dxa"/>
          <w:right w:w="15" w:type="dxa"/>
        </w:tblCellMar>
        <w:tblLook w:val="04A0" w:firstRow="1" w:lastRow="0" w:firstColumn="1" w:lastColumn="0" w:noHBand="0" w:noVBand="1"/>
      </w:tblPr>
      <w:tblGrid>
        <w:gridCol w:w="2272"/>
        <w:gridCol w:w="816"/>
        <w:gridCol w:w="844"/>
        <w:gridCol w:w="870"/>
        <w:gridCol w:w="4538"/>
      </w:tblGrid>
      <w:tr w:rsidR="00B5042A" w14:paraId="7D45E350" w14:textId="77777777" w:rsidTr="00B5042A">
        <w:tc>
          <w:tcPr>
            <w:tcW w:w="3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2478D" w14:textId="77777777" w:rsidR="00B5042A" w:rsidRDefault="00B5042A">
            <w:pPr>
              <w:pStyle w:val="NormalWeb"/>
              <w:spacing w:before="0" w:beforeAutospacing="0" w:after="0" w:afterAutospacing="0"/>
              <w:rPr>
                <w:color w:val="444444"/>
              </w:rPr>
            </w:pPr>
            <w:r>
              <w:rPr>
                <w:color w:val="000000"/>
              </w:rPr>
              <w:t>Tools / CROs (S15LSTS)</w:t>
            </w:r>
          </w:p>
        </w:tc>
        <w:tc>
          <w:tcPr>
            <w:tcW w:w="1020" w:type="dxa"/>
            <w:tcBorders>
              <w:top w:val="nil"/>
              <w:left w:val="nil"/>
              <w:bottom w:val="single" w:sz="8" w:space="0" w:color="auto"/>
              <w:right w:val="single" w:sz="8" w:space="0" w:color="auto"/>
            </w:tcBorders>
            <w:tcMar>
              <w:top w:w="0" w:type="dxa"/>
              <w:left w:w="108" w:type="dxa"/>
              <w:bottom w:w="0" w:type="dxa"/>
              <w:right w:w="108" w:type="dxa"/>
            </w:tcMar>
            <w:hideMark/>
          </w:tcPr>
          <w:p w14:paraId="14EFC4DE" w14:textId="77777777" w:rsidR="00B5042A" w:rsidRDefault="00B5042A">
            <w:pPr>
              <w:pStyle w:val="NormalWeb"/>
              <w:spacing w:before="0" w:beforeAutospacing="0" w:after="0" w:afterAutospacing="0"/>
              <w:jc w:val="right"/>
              <w:rPr>
                <w:color w:val="444444"/>
              </w:rPr>
            </w:pPr>
            <w:r>
              <w:rPr>
                <w:color w:val="000000"/>
              </w:rPr>
              <w:t>4.41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D60278E" w14:textId="77777777" w:rsidR="00B5042A" w:rsidRDefault="00B5042A">
            <w:pPr>
              <w:pStyle w:val="NormalWeb"/>
              <w:spacing w:before="0" w:beforeAutospacing="0" w:after="0" w:afterAutospacing="0"/>
              <w:jc w:val="right"/>
              <w:rPr>
                <w:color w:val="444444"/>
              </w:rPr>
            </w:pPr>
            <w:r>
              <w:rPr>
                <w:color w:val="000000"/>
              </w:rPr>
              <w:t>9.36</w:t>
            </w:r>
          </w:p>
        </w:tc>
        <w:tc>
          <w:tcPr>
            <w:tcW w:w="1000" w:type="dxa"/>
            <w:tcBorders>
              <w:top w:val="nil"/>
              <w:left w:val="nil"/>
              <w:bottom w:val="single" w:sz="8" w:space="0" w:color="auto"/>
              <w:right w:val="single" w:sz="8" w:space="0" w:color="auto"/>
            </w:tcBorders>
            <w:tcMar>
              <w:top w:w="0" w:type="dxa"/>
              <w:left w:w="108" w:type="dxa"/>
              <w:bottom w:w="0" w:type="dxa"/>
              <w:right w:w="108" w:type="dxa"/>
            </w:tcMar>
            <w:hideMark/>
          </w:tcPr>
          <w:p w14:paraId="7CDA412F" w14:textId="77777777" w:rsidR="00B5042A" w:rsidRDefault="00B5042A">
            <w:pPr>
              <w:pStyle w:val="NormalWeb"/>
              <w:spacing w:before="0" w:beforeAutospacing="0" w:after="0" w:afterAutospacing="0"/>
              <w:jc w:val="right"/>
              <w:rPr>
                <w:color w:val="444444"/>
              </w:rPr>
            </w:pPr>
            <w:r>
              <w:rPr>
                <w:color w:val="000000"/>
              </w:rPr>
              <w:t>37.97</w:t>
            </w:r>
          </w:p>
        </w:tc>
        <w:tc>
          <w:tcPr>
            <w:tcW w:w="7932" w:type="dxa"/>
            <w:tcBorders>
              <w:top w:val="nil"/>
              <w:left w:val="nil"/>
              <w:bottom w:val="single" w:sz="8" w:space="0" w:color="auto"/>
              <w:right w:val="single" w:sz="8" w:space="0" w:color="auto"/>
            </w:tcBorders>
            <w:tcMar>
              <w:top w:w="0" w:type="dxa"/>
              <w:left w:w="0" w:type="dxa"/>
              <w:bottom w:w="0" w:type="dxa"/>
              <w:right w:w="0" w:type="dxa"/>
            </w:tcMar>
            <w:hideMark/>
          </w:tcPr>
          <w:p w14:paraId="5C0396AB" w14:textId="77777777" w:rsidR="00B5042A" w:rsidRDefault="00B5042A">
            <w:pPr>
              <w:pStyle w:val="NormalWeb"/>
              <w:spacing w:before="0" w:beforeAutospacing="0" w:after="180" w:afterAutospacing="0"/>
              <w:rPr>
                <w:color w:val="444444"/>
              </w:rPr>
            </w:pPr>
            <w:r>
              <w:rPr>
                <w:color w:val="000000"/>
              </w:rPr>
              <w:t xml:space="preserve">Steady outperformance throughout 2021, with some “COVID off” jitters throughout the year on incremental fears that COVID testing revenue would drop off, overall, sentiment has remained largely unaltered throughout the year.  Strong, sustainable growth remains key here, along with consistent M&amp;A across the group, as companies diversify revenue streams and end markets (biopharma an increasingly appealing end market – which has also kept the strong overweight in the CRO </w:t>
            </w:r>
            <w:r>
              <w:rPr>
                <w:color w:val="000000"/>
              </w:rPr>
              <w:lastRenderedPageBreak/>
              <w:t xml:space="preserve">group).  While there is some apprehension around EPS step-down post COVID, the strong LT growth guides at DHR and TMO recent investor days suggests companies will manage through it </w:t>
            </w:r>
            <w:proofErr w:type="gramStart"/>
            <w:r>
              <w:rPr>
                <w:color w:val="000000"/>
              </w:rPr>
              <w:t>well, and</w:t>
            </w:r>
            <w:proofErr w:type="gramEnd"/>
            <w:r>
              <w:rPr>
                <w:color w:val="000000"/>
              </w:rPr>
              <w:t xml:space="preserve"> have significant opportunity on the other side of it (most believe consensus already overly modeling this, with upside over the medium to LT to numbers).  A quick November straw poll of investor found most HFs don’t see risk to 2022 numbers in the group, and trading here will remain relative, while any sellers of leaders TMO &amp; DHR are likely to regret the sales rather than be applauding themselves at year-end.  While diagnostic names don’t make the S&amp;P500 grouping, the steep post-ARK mania sell-off here has caused a lot of dislocation, continuing to hear inbounds of people </w:t>
            </w:r>
            <w:proofErr w:type="gramStart"/>
            <w:r>
              <w:rPr>
                <w:color w:val="000000"/>
              </w:rPr>
              <w:t>taking a look</w:t>
            </w:r>
            <w:proofErr w:type="gramEnd"/>
            <w:r>
              <w:rPr>
                <w:color w:val="000000"/>
              </w:rPr>
              <w:t xml:space="preserve"> at these names for 1 or 2 “long-term winners” at these valuations.</w:t>
            </w:r>
          </w:p>
          <w:p w14:paraId="10B7FBDC" w14:textId="77777777" w:rsidR="00B5042A" w:rsidRDefault="00B5042A">
            <w:pPr>
              <w:pStyle w:val="NormalWeb"/>
              <w:spacing w:before="0" w:beforeAutospacing="0" w:after="0" w:afterAutospacing="0"/>
              <w:rPr>
                <w:color w:val="444444"/>
              </w:rPr>
            </w:pPr>
            <w:r>
              <w:rPr>
                <w:color w:val="000000"/>
              </w:rPr>
              <w:t>2022 Picks: TMO, BRKR, IQV, CTLT, GH, NSTG</w:t>
            </w:r>
          </w:p>
        </w:tc>
      </w:tr>
    </w:tbl>
    <w:p w14:paraId="7D2E5D55" w14:textId="77777777" w:rsidR="00B5042A" w:rsidRDefault="00B5042A" w:rsidP="00B5042A">
      <w:pPr>
        <w:shd w:val="clear" w:color="auto" w:fill="FFFFFF"/>
        <w:rPr>
          <w:rFonts w:ascii="Arial" w:hAnsi="Arial" w:cs="Arial"/>
          <w:vanish/>
          <w:color w:val="1C1C1C"/>
        </w:rPr>
      </w:pPr>
    </w:p>
    <w:tbl>
      <w:tblPr>
        <w:tblW w:w="0" w:type="auto"/>
        <w:tblCellMar>
          <w:top w:w="15" w:type="dxa"/>
          <w:left w:w="15" w:type="dxa"/>
          <w:bottom w:w="15" w:type="dxa"/>
          <w:right w:w="15" w:type="dxa"/>
        </w:tblCellMar>
        <w:tblLook w:val="04A0" w:firstRow="1" w:lastRow="0" w:firstColumn="1" w:lastColumn="0" w:noHBand="0" w:noVBand="1"/>
      </w:tblPr>
      <w:tblGrid>
        <w:gridCol w:w="2239"/>
        <w:gridCol w:w="699"/>
        <w:gridCol w:w="189"/>
        <w:gridCol w:w="474"/>
        <w:gridCol w:w="463"/>
        <w:gridCol w:w="348"/>
        <w:gridCol w:w="513"/>
        <w:gridCol w:w="4415"/>
      </w:tblGrid>
      <w:tr w:rsidR="00B5042A" w14:paraId="6EAD5E19" w14:textId="77777777" w:rsidTr="00B5042A">
        <w:tc>
          <w:tcPr>
            <w:tcW w:w="22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6BF8E05" w14:textId="77777777" w:rsidR="00B5042A" w:rsidRDefault="00B5042A">
            <w:pPr>
              <w:pStyle w:val="NormalWeb"/>
              <w:spacing w:before="0" w:beforeAutospacing="0" w:after="0" w:afterAutospacing="0"/>
              <w:rPr>
                <w:color w:val="444444"/>
              </w:rPr>
            </w:pPr>
            <w:r>
              <w:rPr>
                <w:b/>
                <w:bCs/>
                <w:color w:val="000000"/>
                <w:u w:val="single"/>
              </w:rPr>
              <w:t>Subsector</w:t>
            </w:r>
          </w:p>
        </w:tc>
        <w:tc>
          <w:tcPr>
            <w:tcW w:w="8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B857AB" w14:textId="77777777" w:rsidR="00B5042A" w:rsidRDefault="00B5042A">
            <w:pPr>
              <w:pStyle w:val="NormalWeb"/>
              <w:spacing w:before="0" w:beforeAutospacing="0" w:after="0" w:afterAutospacing="0"/>
              <w:jc w:val="right"/>
              <w:rPr>
                <w:color w:val="444444"/>
              </w:rPr>
            </w:pPr>
            <w:r>
              <w:rPr>
                <w:b/>
                <w:bCs/>
                <w:color w:val="000000"/>
                <w:u w:val="single"/>
              </w:rPr>
              <w:t>Dec '22</w:t>
            </w:r>
          </w:p>
        </w:tc>
        <w:tc>
          <w:tcPr>
            <w:tcW w:w="81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080CB9" w14:textId="77777777" w:rsidR="00B5042A" w:rsidRDefault="00B5042A">
            <w:pPr>
              <w:pStyle w:val="NormalWeb"/>
              <w:spacing w:before="0" w:beforeAutospacing="0" w:after="0" w:afterAutospacing="0"/>
              <w:jc w:val="right"/>
              <w:rPr>
                <w:color w:val="444444"/>
              </w:rPr>
            </w:pPr>
            <w:r>
              <w:rPr>
                <w:b/>
                <w:bCs/>
                <w:color w:val="000000"/>
                <w:u w:val="single"/>
              </w:rPr>
              <w:t>4Q TD %</w:t>
            </w:r>
          </w:p>
        </w:tc>
        <w:tc>
          <w:tcPr>
            <w:tcW w:w="81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3DCC145" w14:textId="77777777" w:rsidR="00B5042A" w:rsidRDefault="00B5042A">
            <w:pPr>
              <w:pStyle w:val="NormalWeb"/>
              <w:spacing w:before="0" w:beforeAutospacing="0" w:after="0" w:afterAutospacing="0"/>
              <w:jc w:val="right"/>
              <w:rPr>
                <w:color w:val="444444"/>
              </w:rPr>
            </w:pPr>
            <w:r>
              <w:rPr>
                <w:b/>
                <w:bCs/>
                <w:color w:val="000000"/>
                <w:u w:val="single"/>
              </w:rPr>
              <w:t>YTD %</w:t>
            </w:r>
          </w:p>
        </w:tc>
        <w:tc>
          <w:tcPr>
            <w:tcW w:w="4775" w:type="dxa"/>
            <w:gridSpan w:val="2"/>
            <w:tcBorders>
              <w:top w:val="single" w:sz="8" w:space="0" w:color="auto"/>
              <w:left w:val="nil"/>
              <w:bottom w:val="single" w:sz="8" w:space="0" w:color="auto"/>
              <w:right w:val="single" w:sz="8" w:space="0" w:color="auto"/>
            </w:tcBorders>
            <w:tcMar>
              <w:top w:w="0" w:type="dxa"/>
              <w:left w:w="0" w:type="dxa"/>
              <w:bottom w:w="0" w:type="dxa"/>
              <w:right w:w="0" w:type="dxa"/>
            </w:tcMar>
            <w:hideMark/>
          </w:tcPr>
          <w:p w14:paraId="16EF200D" w14:textId="77777777" w:rsidR="00B5042A" w:rsidRDefault="00B5042A">
            <w:pPr>
              <w:pStyle w:val="NormalWeb"/>
              <w:spacing w:before="0" w:beforeAutospacing="0" w:after="0" w:afterAutospacing="0"/>
              <w:rPr>
                <w:color w:val="444444"/>
              </w:rPr>
            </w:pPr>
            <w:r>
              <w:rPr>
                <w:b/>
                <w:bCs/>
                <w:color w:val="000000"/>
                <w:u w:val="single"/>
              </w:rPr>
              <w:t>Sentiment, Themes, and Single Name Thoughts</w:t>
            </w:r>
          </w:p>
        </w:tc>
      </w:tr>
      <w:tr w:rsidR="00B5042A" w14:paraId="7C3F6A0A" w14:textId="77777777" w:rsidTr="00B5042A">
        <w:tc>
          <w:tcPr>
            <w:tcW w:w="3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FFDAF3" w14:textId="77777777" w:rsidR="00B5042A" w:rsidRDefault="00B5042A">
            <w:pPr>
              <w:pStyle w:val="NormalWeb"/>
              <w:spacing w:before="0" w:beforeAutospacing="0" w:after="0" w:afterAutospacing="0"/>
              <w:rPr>
                <w:color w:val="444444"/>
              </w:rPr>
            </w:pPr>
            <w:r>
              <w:rPr>
                <w:color w:val="000000"/>
              </w:rPr>
              <w:t>Facilities (S15HCFA)</w:t>
            </w:r>
          </w:p>
        </w:tc>
        <w:tc>
          <w:tcPr>
            <w:tcW w:w="102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17F451C" w14:textId="77777777" w:rsidR="00B5042A" w:rsidRDefault="00B5042A">
            <w:pPr>
              <w:pStyle w:val="NormalWeb"/>
              <w:spacing w:before="0" w:beforeAutospacing="0" w:after="0" w:afterAutospacing="0"/>
              <w:jc w:val="right"/>
              <w:rPr>
                <w:color w:val="444444"/>
              </w:rPr>
            </w:pPr>
            <w:r>
              <w:rPr>
                <w:color w:val="000000"/>
              </w:rPr>
              <w:t>13.34</w:t>
            </w:r>
          </w:p>
        </w:tc>
        <w:tc>
          <w:tcPr>
            <w:tcW w:w="108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A8B4326" w14:textId="77777777" w:rsidR="00B5042A" w:rsidRDefault="00B5042A">
            <w:pPr>
              <w:pStyle w:val="NormalWeb"/>
              <w:spacing w:before="0" w:beforeAutospacing="0" w:after="0" w:afterAutospacing="0"/>
              <w:jc w:val="right"/>
              <w:rPr>
                <w:color w:val="444444"/>
              </w:rPr>
            </w:pPr>
            <w:r>
              <w:rPr>
                <w:color w:val="000000"/>
              </w:rPr>
              <w:t>0.47</w:t>
            </w:r>
          </w:p>
        </w:tc>
        <w:tc>
          <w:tcPr>
            <w:tcW w:w="100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B9BEBF0" w14:textId="77777777" w:rsidR="00B5042A" w:rsidRDefault="00B5042A">
            <w:pPr>
              <w:pStyle w:val="NormalWeb"/>
              <w:spacing w:before="0" w:beforeAutospacing="0" w:after="0" w:afterAutospacing="0"/>
              <w:jc w:val="right"/>
              <w:rPr>
                <w:color w:val="444444"/>
              </w:rPr>
            </w:pPr>
            <w:r>
              <w:rPr>
                <w:color w:val="000000"/>
              </w:rPr>
              <w:t>32.95</w:t>
            </w:r>
          </w:p>
        </w:tc>
        <w:tc>
          <w:tcPr>
            <w:tcW w:w="7932" w:type="dxa"/>
            <w:tcBorders>
              <w:top w:val="nil"/>
              <w:left w:val="nil"/>
              <w:bottom w:val="single" w:sz="8" w:space="0" w:color="auto"/>
              <w:right w:val="single" w:sz="8" w:space="0" w:color="auto"/>
            </w:tcBorders>
            <w:tcMar>
              <w:top w:w="0" w:type="dxa"/>
              <w:left w:w="0" w:type="dxa"/>
              <w:bottom w:w="0" w:type="dxa"/>
              <w:right w:w="0" w:type="dxa"/>
            </w:tcMar>
            <w:hideMark/>
          </w:tcPr>
          <w:p w14:paraId="77B71593" w14:textId="77777777" w:rsidR="00B5042A" w:rsidRDefault="00B5042A">
            <w:pPr>
              <w:pStyle w:val="NormalWeb"/>
              <w:spacing w:before="0" w:beforeAutospacing="0" w:after="180" w:afterAutospacing="0"/>
              <w:rPr>
                <w:color w:val="444444"/>
              </w:rPr>
            </w:pPr>
            <w:r>
              <w:rPr>
                <w:color w:val="000000"/>
              </w:rPr>
              <w:t>Is COVID good or bad? A lot of hedge fund debate here, while hospitals enter 2022 with the best balance sheets they have had in quite some time, managing the mix of headwinds (staffing, elective volumes, costs) and tailwinds (backlogs, ASCs, diversified rev, balance sheet) remains complex; all key topics during our </w:t>
            </w:r>
            <w:hyperlink r:id="rId6" w:tgtFrame="_blank" w:history="1">
              <w:r>
                <w:rPr>
                  <w:rStyle w:val="Hyperlink"/>
                  <w:color w:val="007099"/>
                </w:rPr>
                <w:t>Nov Nashville Bus Tour</w:t>
              </w:r>
            </w:hyperlink>
            <w:r>
              <w:rPr>
                <w:color w:val="000000"/>
              </w:rPr>
              <w:t xml:space="preserve">.  Overall hospitals remain more a debate on valuation than anything else, although there is some debate around 2022 EBITDA depending on how COVID plays out (HCA modeling 3-5% of admits from COVID), leaving HCA among the most debated names into the start of the year.  Meanwhile, home health names (LHCG, AMED) have significant fallen out of favor in 2021, and that shows no signs of turning in 2022 as investors have thrown out pervious valuation </w:t>
            </w:r>
            <w:proofErr w:type="gramStart"/>
            <w:r>
              <w:rPr>
                <w:color w:val="000000"/>
              </w:rPr>
              <w:t>constructs, and</w:t>
            </w:r>
            <w:proofErr w:type="gramEnd"/>
            <w:r>
              <w:rPr>
                <w:color w:val="000000"/>
              </w:rPr>
              <w:t xml:space="preserve"> see a challenging path to any EBITDA upside as </w:t>
            </w:r>
            <w:r>
              <w:rPr>
                <w:color w:val="000000"/>
              </w:rPr>
              <w:lastRenderedPageBreak/>
              <w:t>cost increases look increasingly permanent (will potentially additional pain), especially on the labor side, while EHC remains tricky for folks with a lack of clarity on HH&amp;H timing/move. Overall, investors not expecting a similar 30%+ rally in 2022, with MUCH more selective positioning.</w:t>
            </w:r>
          </w:p>
          <w:p w14:paraId="45C39BDE" w14:textId="77777777" w:rsidR="00B5042A" w:rsidRDefault="00B5042A">
            <w:pPr>
              <w:pStyle w:val="NormalWeb"/>
              <w:spacing w:before="0" w:beforeAutospacing="0" w:after="0" w:afterAutospacing="0"/>
              <w:rPr>
                <w:color w:val="444444"/>
              </w:rPr>
            </w:pPr>
            <w:r>
              <w:rPr>
                <w:color w:val="000000"/>
              </w:rPr>
              <w:t>2022 Picks: THC, ACHC, SGRY</w:t>
            </w:r>
          </w:p>
        </w:tc>
      </w:tr>
    </w:tbl>
    <w:p w14:paraId="27D3EC08" w14:textId="77777777" w:rsidR="00B5042A" w:rsidRDefault="00B5042A" w:rsidP="00B5042A">
      <w:pPr>
        <w:pStyle w:val="NormalWeb"/>
        <w:shd w:val="clear" w:color="auto" w:fill="FFFFFF"/>
        <w:spacing w:before="0" w:beforeAutospacing="0" w:after="180" w:afterAutospacing="0"/>
        <w:rPr>
          <w:rFonts w:ascii="Arial" w:hAnsi="Arial" w:cs="Arial"/>
          <w:color w:val="444444"/>
        </w:rPr>
      </w:pPr>
      <w:r>
        <w:rPr>
          <w:rFonts w:ascii="Arial" w:hAnsi="Arial" w:cs="Arial"/>
          <w:color w:val="000000"/>
        </w:rPr>
        <w:lastRenderedPageBreak/>
        <w:t>What a 4Q turnaround for the group, which overall also helped turn momentum for the XLV.  Pharma has slowly become cool again, a trend we saw late in 3Q as investors increasingly called around asking for “1-2 large biopharma names one can own for 3 years” indicating a sentiment change for the first time in the last couple of years.  The positioning trade has quickly followed, with quite a bit of COVID volatility in the middle (LLY, PFE, MRK), while some of this has also been spurred by increasing headlines around biopharma deployable capital ($300bn, $500bn, it’s a lot!) and increasingly aggressive mgmt. commentary around deploying it (along with a handful of 4Q deals).  Drug price reform remains a muted topic (in my mind had never been the gating factor for ownership), and the group has slowly re-rated as LT growth prospects have improved with M&amp;A adding to revenue / pipelines, although there is more lifting to do here to get the names to move higher from these levels.  Generalists still not at market weight in the group, pharma has some potential to possibly outperform next year, while investors are focused on both 2022-2023 earnings as well as late in the decade growth.</w:t>
      </w:r>
    </w:p>
    <w:tbl>
      <w:tblPr>
        <w:tblW w:w="0" w:type="auto"/>
        <w:tblCellMar>
          <w:top w:w="15" w:type="dxa"/>
          <w:left w:w="15" w:type="dxa"/>
          <w:bottom w:w="15" w:type="dxa"/>
          <w:right w:w="15" w:type="dxa"/>
        </w:tblCellMar>
        <w:tblLook w:val="04A0" w:firstRow="1" w:lastRow="0" w:firstColumn="1" w:lastColumn="0" w:noHBand="0" w:noVBand="1"/>
      </w:tblPr>
      <w:tblGrid>
        <w:gridCol w:w="1602"/>
        <w:gridCol w:w="820"/>
        <w:gridCol w:w="814"/>
        <w:gridCol w:w="861"/>
        <w:gridCol w:w="888"/>
        <w:gridCol w:w="4355"/>
      </w:tblGrid>
      <w:tr w:rsidR="00B5042A" w14:paraId="649CA932" w14:textId="77777777" w:rsidTr="00B5042A">
        <w:tc>
          <w:tcPr>
            <w:tcW w:w="21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812C60D" w14:textId="77777777" w:rsidR="00B5042A" w:rsidRDefault="00B5042A">
            <w:pPr>
              <w:pStyle w:val="NormalWeb"/>
              <w:spacing w:before="0" w:beforeAutospacing="0" w:after="0" w:afterAutospacing="0"/>
              <w:rPr>
                <w:color w:val="444444"/>
              </w:rPr>
            </w:pPr>
            <w:r>
              <w:rPr>
                <w:b/>
                <w:bCs/>
                <w:color w:val="000000"/>
                <w:u w:val="single"/>
              </w:rPr>
              <w:t>Subsector</w:t>
            </w:r>
          </w:p>
        </w:tc>
        <w:tc>
          <w:tcPr>
            <w:tcW w:w="8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449DB7" w14:textId="77777777" w:rsidR="00B5042A" w:rsidRDefault="00B5042A">
            <w:pPr>
              <w:pStyle w:val="NormalWeb"/>
              <w:spacing w:before="0" w:beforeAutospacing="0" w:after="0" w:afterAutospacing="0"/>
              <w:jc w:val="right"/>
              <w:rPr>
                <w:color w:val="444444"/>
              </w:rPr>
            </w:pPr>
            <w:r>
              <w:rPr>
                <w:b/>
                <w:bCs/>
                <w:color w:val="000000"/>
                <w:u w:val="single"/>
              </w:rPr>
              <w:t>Dec '22</w:t>
            </w:r>
          </w:p>
        </w:tc>
        <w:tc>
          <w:tcPr>
            <w:tcW w:w="7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6349C7" w14:textId="77777777" w:rsidR="00B5042A" w:rsidRDefault="00B5042A">
            <w:pPr>
              <w:pStyle w:val="NormalWeb"/>
              <w:spacing w:before="0" w:beforeAutospacing="0" w:after="0" w:afterAutospacing="0"/>
              <w:jc w:val="right"/>
              <w:rPr>
                <w:color w:val="444444"/>
              </w:rPr>
            </w:pPr>
            <w:r>
              <w:rPr>
                <w:b/>
                <w:bCs/>
                <w:color w:val="000000"/>
                <w:u w:val="single"/>
              </w:rPr>
              <w:t>4Q TD %</w:t>
            </w:r>
          </w:p>
        </w:tc>
        <w:tc>
          <w:tcPr>
            <w:tcW w:w="7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121809" w14:textId="77777777" w:rsidR="00B5042A" w:rsidRDefault="00B5042A">
            <w:pPr>
              <w:pStyle w:val="NormalWeb"/>
              <w:spacing w:before="0" w:beforeAutospacing="0" w:after="0" w:afterAutospacing="0"/>
              <w:jc w:val="right"/>
              <w:rPr>
                <w:color w:val="444444"/>
              </w:rPr>
            </w:pPr>
            <w:r>
              <w:rPr>
                <w:b/>
                <w:bCs/>
                <w:color w:val="000000"/>
                <w:u w:val="single"/>
              </w:rPr>
              <w:t>YTD %</w:t>
            </w:r>
          </w:p>
        </w:tc>
        <w:tc>
          <w:tcPr>
            <w:tcW w:w="5007" w:type="dxa"/>
            <w:gridSpan w:val="2"/>
            <w:tcBorders>
              <w:top w:val="single" w:sz="8" w:space="0" w:color="auto"/>
              <w:left w:val="nil"/>
              <w:bottom w:val="single" w:sz="8" w:space="0" w:color="auto"/>
              <w:right w:val="single" w:sz="8" w:space="0" w:color="auto"/>
            </w:tcBorders>
            <w:tcMar>
              <w:top w:w="0" w:type="dxa"/>
              <w:left w:w="0" w:type="dxa"/>
              <w:bottom w:w="0" w:type="dxa"/>
              <w:right w:w="0" w:type="dxa"/>
            </w:tcMar>
            <w:hideMark/>
          </w:tcPr>
          <w:p w14:paraId="3730C259" w14:textId="77777777" w:rsidR="00B5042A" w:rsidRDefault="00B5042A">
            <w:pPr>
              <w:pStyle w:val="NormalWeb"/>
              <w:spacing w:before="0" w:beforeAutospacing="0" w:after="0" w:afterAutospacing="0"/>
              <w:rPr>
                <w:color w:val="444444"/>
              </w:rPr>
            </w:pPr>
            <w:r>
              <w:rPr>
                <w:b/>
                <w:bCs/>
                <w:color w:val="000000"/>
                <w:u w:val="single"/>
              </w:rPr>
              <w:t>Sentiment, Themes, and Single Name Thoughts</w:t>
            </w:r>
          </w:p>
        </w:tc>
      </w:tr>
      <w:tr w:rsidR="00B5042A" w14:paraId="4584CEE3" w14:textId="77777777" w:rsidTr="00B5042A">
        <w:tblPrEx>
          <w:shd w:val="clear" w:color="auto" w:fill="FFFFFF"/>
        </w:tblPrEx>
        <w:tc>
          <w:tcPr>
            <w:tcW w:w="336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13CD56" w14:textId="77777777" w:rsidR="00B5042A" w:rsidRDefault="00B5042A">
            <w:pPr>
              <w:pStyle w:val="NormalWeb"/>
              <w:spacing w:before="0" w:beforeAutospacing="0" w:after="0" w:afterAutospacing="0"/>
              <w:rPr>
                <w:rFonts w:ascii="Arial" w:hAnsi="Arial" w:cs="Arial"/>
                <w:color w:val="444444"/>
              </w:rPr>
            </w:pPr>
            <w:r>
              <w:rPr>
                <w:rFonts w:ascii="Arial" w:hAnsi="Arial" w:cs="Arial"/>
                <w:color w:val="000000"/>
              </w:rPr>
              <w:t>Med Tech (S15HCEP)</w:t>
            </w:r>
          </w:p>
        </w:tc>
        <w:tc>
          <w:tcPr>
            <w:tcW w:w="1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B944D8" w14:textId="77777777" w:rsidR="00B5042A" w:rsidRDefault="00B5042A">
            <w:pPr>
              <w:pStyle w:val="NormalWeb"/>
              <w:spacing w:before="0" w:beforeAutospacing="0" w:after="0" w:afterAutospacing="0"/>
              <w:jc w:val="right"/>
              <w:rPr>
                <w:rFonts w:ascii="Arial" w:hAnsi="Arial" w:cs="Arial"/>
                <w:color w:val="444444"/>
              </w:rPr>
            </w:pPr>
            <w:r>
              <w:rPr>
                <w:rFonts w:ascii="Arial" w:hAnsi="Arial" w:cs="Arial"/>
                <w:color w:val="000000"/>
              </w:rPr>
              <w:t>9.14</w:t>
            </w:r>
          </w:p>
        </w:tc>
        <w:tc>
          <w:tcPr>
            <w:tcW w:w="1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92DBD3" w14:textId="77777777" w:rsidR="00B5042A" w:rsidRDefault="00B5042A">
            <w:pPr>
              <w:pStyle w:val="NormalWeb"/>
              <w:spacing w:before="0" w:beforeAutospacing="0" w:after="0" w:afterAutospacing="0"/>
              <w:jc w:val="right"/>
              <w:rPr>
                <w:rFonts w:ascii="Arial" w:hAnsi="Arial" w:cs="Arial"/>
                <w:color w:val="444444"/>
              </w:rPr>
            </w:pPr>
            <w:r>
              <w:rPr>
                <w:rFonts w:ascii="Arial" w:hAnsi="Arial" w:cs="Arial"/>
                <w:color w:val="000000"/>
              </w:rPr>
              <w:t>3.18</w:t>
            </w:r>
          </w:p>
        </w:tc>
        <w:tc>
          <w:tcPr>
            <w:tcW w:w="1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800D2" w14:textId="77777777" w:rsidR="00B5042A" w:rsidRDefault="00B5042A">
            <w:pPr>
              <w:pStyle w:val="NormalWeb"/>
              <w:spacing w:before="0" w:beforeAutospacing="0" w:after="0" w:afterAutospacing="0"/>
              <w:jc w:val="right"/>
              <w:rPr>
                <w:rFonts w:ascii="Arial" w:hAnsi="Arial" w:cs="Arial"/>
                <w:color w:val="444444"/>
              </w:rPr>
            </w:pPr>
            <w:r>
              <w:rPr>
                <w:rFonts w:ascii="Arial" w:hAnsi="Arial" w:cs="Arial"/>
                <w:color w:val="000000"/>
              </w:rPr>
              <w:t>18.75</w:t>
            </w:r>
          </w:p>
        </w:tc>
        <w:tc>
          <w:tcPr>
            <w:tcW w:w="7932"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381469F5" w14:textId="77777777" w:rsidR="00B5042A" w:rsidRDefault="00B5042A">
            <w:pPr>
              <w:pStyle w:val="NormalWeb"/>
              <w:spacing w:before="0" w:beforeAutospacing="0" w:after="180" w:afterAutospacing="0"/>
              <w:rPr>
                <w:rFonts w:ascii="Arial" w:hAnsi="Arial" w:cs="Arial"/>
                <w:color w:val="444444"/>
              </w:rPr>
            </w:pPr>
            <w:r>
              <w:rPr>
                <w:rFonts w:ascii="Arial" w:hAnsi="Arial" w:cs="Arial"/>
                <w:color w:val="000000"/>
              </w:rPr>
              <w:t xml:space="preserve">2H21 has been less kind to the group, as visibility/credibility took a hit after management commentary and overall performance for 3Q did not align, while investors grew concerned that COVID disruptions may take longer to work through (procedure staffing, supply chain, increased costs); overall leading to quite a bit of LO supply following 3Q results.  Positioning the group became much more “core” or disruption safe for the bulk of 4Q, and some of those have remained in place (ISRG, EW, ABT), while investors overall yearn for </w:t>
            </w:r>
            <w:proofErr w:type="spellStart"/>
            <w:r>
              <w:rPr>
                <w:rFonts w:ascii="Arial" w:hAnsi="Arial" w:cs="Arial"/>
                <w:color w:val="000000"/>
              </w:rPr>
              <w:t>barbelled</w:t>
            </w:r>
            <w:proofErr w:type="spellEnd"/>
            <w:r>
              <w:rPr>
                <w:rFonts w:ascii="Arial" w:hAnsi="Arial" w:cs="Arial"/>
                <w:color w:val="000000"/>
              </w:rPr>
              <w:t xml:space="preserve"> exposure to electives (With HFs increasingly itching to get more elective names in the book w/ fear of missing a quick rebound here, but picking the right name remains difficult), while others have been focused on LT </w:t>
            </w:r>
            <w:r>
              <w:rPr>
                <w:rFonts w:ascii="Arial" w:hAnsi="Arial" w:cs="Arial"/>
                <w:color w:val="000000"/>
              </w:rPr>
              <w:lastRenderedPageBreak/>
              <w:t>Growth winners here (DXCM, EW, TNDM), and getting a fair amount of longer term money taking a look at some laggards (more BAX than BDX, less ZBH or NUVA), while HFs debate potential shorts in 2021 aesthetic outperformers (INMD, ESTA). Expect that med tech sentiment turns increasingly positive by mid-year, setting up for a year of outperformance and more consistent returns.</w:t>
            </w:r>
          </w:p>
          <w:p w14:paraId="0231A49D" w14:textId="77777777" w:rsidR="00B5042A" w:rsidRDefault="00B5042A">
            <w:pPr>
              <w:pStyle w:val="NormalWeb"/>
              <w:spacing w:before="0" w:beforeAutospacing="0" w:after="0" w:afterAutospacing="0"/>
              <w:rPr>
                <w:rFonts w:ascii="Arial" w:hAnsi="Arial" w:cs="Arial"/>
                <w:color w:val="444444"/>
              </w:rPr>
            </w:pPr>
            <w:r>
              <w:rPr>
                <w:rFonts w:ascii="Arial" w:hAnsi="Arial" w:cs="Arial"/>
                <w:color w:val="000000"/>
              </w:rPr>
              <w:t>2022 Picks: BSX, EW, GMED, DXCM, TNDM, MASI</w:t>
            </w:r>
          </w:p>
        </w:tc>
      </w:tr>
    </w:tbl>
    <w:p w14:paraId="1301A89F" w14:textId="77777777" w:rsidR="00B5042A" w:rsidRDefault="00B5042A" w:rsidP="00B5042A">
      <w:pPr>
        <w:shd w:val="clear" w:color="auto" w:fill="FFFFFF"/>
        <w:rPr>
          <w:rFonts w:ascii="Arial" w:hAnsi="Arial" w:cs="Arial"/>
          <w:vanish/>
          <w:color w:val="1C1C1C"/>
        </w:rPr>
      </w:pPr>
    </w:p>
    <w:tbl>
      <w:tblPr>
        <w:tblW w:w="0" w:type="auto"/>
        <w:tblCellMar>
          <w:top w:w="15" w:type="dxa"/>
          <w:left w:w="15" w:type="dxa"/>
          <w:bottom w:w="15" w:type="dxa"/>
          <w:right w:w="15" w:type="dxa"/>
        </w:tblCellMar>
        <w:tblLook w:val="04A0" w:firstRow="1" w:lastRow="0" w:firstColumn="1" w:lastColumn="0" w:noHBand="0" w:noVBand="1"/>
      </w:tblPr>
      <w:tblGrid>
        <w:gridCol w:w="1318"/>
        <w:gridCol w:w="700"/>
        <w:gridCol w:w="733"/>
        <w:gridCol w:w="824"/>
        <w:gridCol w:w="845"/>
        <w:gridCol w:w="760"/>
        <w:gridCol w:w="4160"/>
      </w:tblGrid>
      <w:tr w:rsidR="00B5042A" w14:paraId="1000280C" w14:textId="77777777" w:rsidTr="00B5042A">
        <w:tc>
          <w:tcPr>
            <w:tcW w:w="2376"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1AE9130" w14:textId="77777777" w:rsidR="00B5042A" w:rsidRDefault="00B5042A">
            <w:pPr>
              <w:pStyle w:val="NormalWeb"/>
              <w:spacing w:before="0" w:beforeAutospacing="0" w:after="0" w:afterAutospacing="0"/>
              <w:rPr>
                <w:color w:val="444444"/>
              </w:rPr>
            </w:pPr>
            <w:r>
              <w:rPr>
                <w:b/>
                <w:bCs/>
                <w:color w:val="000000"/>
                <w:u w:val="single"/>
              </w:rPr>
              <w:t>Subsector</w:t>
            </w:r>
          </w:p>
        </w:tc>
        <w:tc>
          <w:tcPr>
            <w:tcW w:w="7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04A578" w14:textId="77777777" w:rsidR="00B5042A" w:rsidRDefault="00B5042A">
            <w:pPr>
              <w:pStyle w:val="NormalWeb"/>
              <w:spacing w:before="0" w:beforeAutospacing="0" w:after="0" w:afterAutospacing="0"/>
              <w:jc w:val="right"/>
              <w:rPr>
                <w:color w:val="444444"/>
              </w:rPr>
            </w:pPr>
            <w:r>
              <w:rPr>
                <w:b/>
                <w:bCs/>
                <w:color w:val="000000"/>
                <w:u w:val="single"/>
              </w:rPr>
              <w:t>Dec '22</w:t>
            </w:r>
          </w:p>
        </w:tc>
        <w:tc>
          <w:tcPr>
            <w:tcW w:w="8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4CCDEE" w14:textId="77777777" w:rsidR="00B5042A" w:rsidRDefault="00B5042A">
            <w:pPr>
              <w:pStyle w:val="NormalWeb"/>
              <w:spacing w:before="0" w:beforeAutospacing="0" w:after="0" w:afterAutospacing="0"/>
              <w:jc w:val="right"/>
              <w:rPr>
                <w:color w:val="444444"/>
              </w:rPr>
            </w:pPr>
            <w:r>
              <w:rPr>
                <w:b/>
                <w:bCs/>
                <w:color w:val="000000"/>
                <w:u w:val="single"/>
              </w:rPr>
              <w:t>4Q TD %</w:t>
            </w:r>
          </w:p>
        </w:tc>
        <w:tc>
          <w:tcPr>
            <w:tcW w:w="7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84D510" w14:textId="77777777" w:rsidR="00B5042A" w:rsidRDefault="00B5042A">
            <w:pPr>
              <w:pStyle w:val="NormalWeb"/>
              <w:spacing w:before="0" w:beforeAutospacing="0" w:after="0" w:afterAutospacing="0"/>
              <w:jc w:val="right"/>
              <w:rPr>
                <w:color w:val="444444"/>
              </w:rPr>
            </w:pPr>
            <w:r>
              <w:rPr>
                <w:b/>
                <w:bCs/>
                <w:color w:val="000000"/>
                <w:u w:val="single"/>
              </w:rPr>
              <w:t>YTD %</w:t>
            </w:r>
          </w:p>
        </w:tc>
        <w:tc>
          <w:tcPr>
            <w:tcW w:w="4782" w:type="dxa"/>
            <w:gridSpan w:val="2"/>
            <w:tcBorders>
              <w:top w:val="single" w:sz="8" w:space="0" w:color="auto"/>
              <w:left w:val="nil"/>
              <w:bottom w:val="single" w:sz="8" w:space="0" w:color="auto"/>
              <w:right w:val="single" w:sz="8" w:space="0" w:color="auto"/>
            </w:tcBorders>
            <w:tcMar>
              <w:top w:w="0" w:type="dxa"/>
              <w:left w:w="0" w:type="dxa"/>
              <w:bottom w:w="0" w:type="dxa"/>
              <w:right w:w="0" w:type="dxa"/>
            </w:tcMar>
            <w:hideMark/>
          </w:tcPr>
          <w:p w14:paraId="65EEAA17" w14:textId="77777777" w:rsidR="00B5042A" w:rsidRDefault="00B5042A">
            <w:pPr>
              <w:pStyle w:val="NormalWeb"/>
              <w:spacing w:before="0" w:beforeAutospacing="0" w:after="0" w:afterAutospacing="0"/>
              <w:rPr>
                <w:color w:val="444444"/>
              </w:rPr>
            </w:pPr>
            <w:r>
              <w:rPr>
                <w:b/>
                <w:bCs/>
                <w:color w:val="000000"/>
                <w:u w:val="single"/>
              </w:rPr>
              <w:t>Sentiment, Themes, and Single Name Thoughts</w:t>
            </w:r>
          </w:p>
        </w:tc>
      </w:tr>
      <w:tr w:rsidR="00B5042A" w14:paraId="7EB47EB6" w14:textId="77777777" w:rsidTr="00B5042A">
        <w:tc>
          <w:tcPr>
            <w:tcW w:w="336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0D1937" w14:textId="77777777" w:rsidR="00B5042A" w:rsidRDefault="00B5042A">
            <w:pPr>
              <w:pStyle w:val="NormalWeb"/>
              <w:spacing w:before="0" w:beforeAutospacing="0" w:after="0" w:afterAutospacing="0"/>
              <w:rPr>
                <w:color w:val="444444"/>
              </w:rPr>
            </w:pPr>
            <w:r>
              <w:rPr>
                <w:color w:val="000000"/>
              </w:rPr>
              <w:t>HCIT / SMID Providers (RGUSHSHS)</w:t>
            </w:r>
          </w:p>
        </w:tc>
        <w:tc>
          <w:tcPr>
            <w:tcW w:w="1020" w:type="dxa"/>
            <w:tcBorders>
              <w:top w:val="nil"/>
              <w:left w:val="nil"/>
              <w:bottom w:val="single" w:sz="8" w:space="0" w:color="auto"/>
              <w:right w:val="single" w:sz="8" w:space="0" w:color="auto"/>
            </w:tcBorders>
            <w:tcMar>
              <w:top w:w="0" w:type="dxa"/>
              <w:left w:w="108" w:type="dxa"/>
              <w:bottom w:w="0" w:type="dxa"/>
              <w:right w:w="108" w:type="dxa"/>
            </w:tcMar>
            <w:hideMark/>
          </w:tcPr>
          <w:p w14:paraId="1E8D506A" w14:textId="77777777" w:rsidR="00B5042A" w:rsidRDefault="00B5042A">
            <w:pPr>
              <w:pStyle w:val="NormalWeb"/>
              <w:spacing w:before="0" w:beforeAutospacing="0" w:after="0" w:afterAutospacing="0"/>
              <w:jc w:val="right"/>
              <w:rPr>
                <w:color w:val="444444"/>
              </w:rPr>
            </w:pPr>
            <w:r>
              <w:rPr>
                <w:color w:val="000000"/>
              </w:rPr>
              <w:t>5.34</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2E52A8AF" w14:textId="77777777" w:rsidR="00B5042A" w:rsidRDefault="00B5042A">
            <w:pPr>
              <w:pStyle w:val="NormalWeb"/>
              <w:spacing w:before="0" w:beforeAutospacing="0" w:after="0" w:afterAutospacing="0"/>
              <w:jc w:val="right"/>
              <w:rPr>
                <w:color w:val="444444"/>
              </w:rPr>
            </w:pPr>
            <w:r>
              <w:rPr>
                <w:color w:val="000000"/>
              </w:rPr>
              <w:t>-9.58</w:t>
            </w:r>
          </w:p>
        </w:tc>
        <w:tc>
          <w:tcPr>
            <w:tcW w:w="1000" w:type="dxa"/>
            <w:tcBorders>
              <w:top w:val="nil"/>
              <w:left w:val="nil"/>
              <w:bottom w:val="single" w:sz="8" w:space="0" w:color="auto"/>
              <w:right w:val="single" w:sz="8" w:space="0" w:color="auto"/>
            </w:tcBorders>
            <w:tcMar>
              <w:top w:w="0" w:type="dxa"/>
              <w:left w:w="108" w:type="dxa"/>
              <w:bottom w:w="0" w:type="dxa"/>
              <w:right w:w="108" w:type="dxa"/>
            </w:tcMar>
            <w:hideMark/>
          </w:tcPr>
          <w:p w14:paraId="341E0190" w14:textId="77777777" w:rsidR="00B5042A" w:rsidRDefault="00B5042A">
            <w:pPr>
              <w:pStyle w:val="NormalWeb"/>
              <w:spacing w:before="0" w:beforeAutospacing="0" w:after="0" w:afterAutospacing="0"/>
              <w:jc w:val="right"/>
              <w:rPr>
                <w:color w:val="444444"/>
              </w:rPr>
            </w:pPr>
            <w:r>
              <w:rPr>
                <w:color w:val="000000"/>
              </w:rPr>
              <w:t>-8.49</w:t>
            </w:r>
          </w:p>
        </w:tc>
        <w:tc>
          <w:tcPr>
            <w:tcW w:w="7932" w:type="dxa"/>
            <w:tcBorders>
              <w:top w:val="nil"/>
              <w:left w:val="nil"/>
              <w:bottom w:val="single" w:sz="8" w:space="0" w:color="auto"/>
              <w:right w:val="single" w:sz="8" w:space="0" w:color="auto"/>
            </w:tcBorders>
            <w:tcMar>
              <w:top w:w="0" w:type="dxa"/>
              <w:left w:w="0" w:type="dxa"/>
              <w:bottom w:w="0" w:type="dxa"/>
              <w:right w:w="0" w:type="dxa"/>
            </w:tcMar>
            <w:hideMark/>
          </w:tcPr>
          <w:p w14:paraId="7E2ECFCB" w14:textId="77777777" w:rsidR="00B5042A" w:rsidRDefault="00B5042A">
            <w:pPr>
              <w:pStyle w:val="NormalWeb"/>
              <w:spacing w:before="0" w:beforeAutospacing="0" w:after="180" w:afterAutospacing="0"/>
              <w:rPr>
                <w:color w:val="444444"/>
              </w:rPr>
            </w:pPr>
            <w:r>
              <w:rPr>
                <w:color w:val="444444"/>
              </w:rPr>
              <w:t xml:space="preserve">Painful 4Q for SMID growth, and healthcare was very much wrapped up in.  Quite frankly, it has been difficult since 1Q, as the ARK driven rally was never going to be backed up by fundamentals as these stories continue to play out rather than some rapid step function higher in 2021.  Overall, everything has turned into a show-me story, following significant IPO and SPAC activity that has added plenty of new names into the mix (increasing amounts of work being done on value based cared names, with investors looking to pick winners/losers sooner than later), and many companies failing to deliver on initial promises.  Meanwhile, names that had COVID tailwinds saw those stall out quicker than other subsectors, putting significant pressure on valuations and EPS (especially with many left out of the M&amp;A fray, as larger peers/tech </w:t>
            </w:r>
            <w:proofErr w:type="spellStart"/>
            <w:r>
              <w:rPr>
                <w:color w:val="444444"/>
              </w:rPr>
              <w:t>co’s</w:t>
            </w:r>
            <w:proofErr w:type="spellEnd"/>
            <w:r>
              <w:rPr>
                <w:color w:val="444444"/>
              </w:rPr>
              <w:t xml:space="preserve"> have opted for build your own or smaller bolt-</w:t>
            </w:r>
            <w:proofErr w:type="spellStart"/>
            <w:r>
              <w:rPr>
                <w:color w:val="444444"/>
              </w:rPr>
              <w:t>ons</w:t>
            </w:r>
            <w:proofErr w:type="spellEnd"/>
            <w:r>
              <w:rPr>
                <w:color w:val="444444"/>
              </w:rPr>
              <w:t>).  SMID providers of course hit from all angles as COVID ratcheted up costs that were increasingly difficult to manage.  Overall, sentiment remains in wait and see mode, with investors very selective here, and don’t expect material reversion higher until at least mid-year.</w:t>
            </w:r>
          </w:p>
          <w:p w14:paraId="64E6A0D2" w14:textId="77777777" w:rsidR="00B5042A" w:rsidRDefault="00B5042A">
            <w:pPr>
              <w:pStyle w:val="NormalWeb"/>
              <w:spacing w:before="0" w:beforeAutospacing="0" w:after="0" w:afterAutospacing="0"/>
              <w:rPr>
                <w:color w:val="444444"/>
              </w:rPr>
            </w:pPr>
            <w:r>
              <w:rPr>
                <w:color w:val="000000"/>
              </w:rPr>
              <w:t>2022 Picks: CANO, HCAT, APR, RCM</w:t>
            </w:r>
          </w:p>
        </w:tc>
      </w:tr>
      <w:tr w:rsidR="00B5042A" w14:paraId="157E165C" w14:textId="77777777" w:rsidTr="00B5042A">
        <w:tc>
          <w:tcPr>
            <w:tcW w:w="14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D6E17EE" w14:textId="77777777" w:rsidR="00B5042A" w:rsidRDefault="00B5042A">
            <w:pPr>
              <w:pStyle w:val="NormalWeb"/>
              <w:spacing w:before="0" w:beforeAutospacing="0" w:after="0" w:afterAutospacing="0"/>
              <w:rPr>
                <w:color w:val="444444"/>
              </w:rPr>
            </w:pPr>
            <w:r>
              <w:rPr>
                <w:b/>
                <w:bCs/>
                <w:color w:val="000000"/>
                <w:u w:val="single"/>
              </w:rPr>
              <w:lastRenderedPageBreak/>
              <w:t>Subsector</w:t>
            </w:r>
          </w:p>
        </w:tc>
        <w:tc>
          <w:tcPr>
            <w:tcW w:w="8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990391" w14:textId="77777777" w:rsidR="00B5042A" w:rsidRDefault="00B5042A">
            <w:pPr>
              <w:pStyle w:val="NormalWeb"/>
              <w:spacing w:before="0" w:beforeAutospacing="0" w:after="0" w:afterAutospacing="0"/>
              <w:jc w:val="right"/>
              <w:rPr>
                <w:color w:val="444444"/>
              </w:rPr>
            </w:pPr>
            <w:r>
              <w:rPr>
                <w:b/>
                <w:bCs/>
                <w:color w:val="000000"/>
                <w:u w:val="single"/>
              </w:rPr>
              <w:t>Dec '22</w:t>
            </w:r>
          </w:p>
        </w:tc>
        <w:tc>
          <w:tcPr>
            <w:tcW w:w="8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2AA021" w14:textId="77777777" w:rsidR="00B5042A" w:rsidRDefault="00B5042A">
            <w:pPr>
              <w:pStyle w:val="NormalWeb"/>
              <w:spacing w:before="0" w:beforeAutospacing="0" w:after="0" w:afterAutospacing="0"/>
              <w:jc w:val="right"/>
              <w:rPr>
                <w:color w:val="444444"/>
              </w:rPr>
            </w:pPr>
            <w:r>
              <w:rPr>
                <w:b/>
                <w:bCs/>
                <w:color w:val="000000"/>
                <w:u w:val="single"/>
              </w:rPr>
              <w:t>4Q TD %</w:t>
            </w:r>
          </w:p>
        </w:tc>
        <w:tc>
          <w:tcPr>
            <w:tcW w:w="8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4DCC48" w14:textId="77777777" w:rsidR="00B5042A" w:rsidRDefault="00B5042A">
            <w:pPr>
              <w:pStyle w:val="NormalWeb"/>
              <w:spacing w:before="0" w:beforeAutospacing="0" w:after="0" w:afterAutospacing="0"/>
              <w:jc w:val="right"/>
              <w:rPr>
                <w:color w:val="444444"/>
              </w:rPr>
            </w:pPr>
            <w:r>
              <w:rPr>
                <w:b/>
                <w:bCs/>
                <w:color w:val="000000"/>
                <w:u w:val="single"/>
              </w:rPr>
              <w:t>YTD %</w:t>
            </w:r>
          </w:p>
        </w:tc>
        <w:tc>
          <w:tcPr>
            <w:tcW w:w="5488"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hideMark/>
          </w:tcPr>
          <w:p w14:paraId="19A2CC23" w14:textId="77777777" w:rsidR="00B5042A" w:rsidRDefault="00B5042A">
            <w:pPr>
              <w:pStyle w:val="NormalWeb"/>
              <w:spacing w:before="0" w:beforeAutospacing="0" w:after="0" w:afterAutospacing="0"/>
              <w:rPr>
                <w:color w:val="444444"/>
              </w:rPr>
            </w:pPr>
            <w:r>
              <w:rPr>
                <w:b/>
                <w:bCs/>
                <w:color w:val="000000"/>
                <w:u w:val="single"/>
              </w:rPr>
              <w:t>Sentiment, Themes, and Single Name Thoughts</w:t>
            </w:r>
          </w:p>
        </w:tc>
      </w:tr>
    </w:tbl>
    <w:p w14:paraId="212C9161" w14:textId="77777777" w:rsidR="00B5042A" w:rsidRDefault="00B5042A" w:rsidP="00B5042A">
      <w:pPr>
        <w:shd w:val="clear" w:color="auto" w:fill="FFFFFF"/>
        <w:rPr>
          <w:rFonts w:ascii="Arial" w:hAnsi="Arial" w:cs="Arial"/>
          <w:vanish/>
          <w:color w:val="1C1C1C"/>
        </w:rPr>
      </w:pPr>
    </w:p>
    <w:tbl>
      <w:tblPr>
        <w:tblW w:w="0" w:type="auto"/>
        <w:tblCellMar>
          <w:top w:w="15" w:type="dxa"/>
          <w:left w:w="15" w:type="dxa"/>
          <w:bottom w:w="15" w:type="dxa"/>
          <w:right w:w="15" w:type="dxa"/>
        </w:tblCellMar>
        <w:tblLook w:val="04A0" w:firstRow="1" w:lastRow="0" w:firstColumn="1" w:lastColumn="0" w:noHBand="0" w:noVBand="1"/>
      </w:tblPr>
      <w:tblGrid>
        <w:gridCol w:w="1442"/>
        <w:gridCol w:w="731"/>
        <w:gridCol w:w="906"/>
        <w:gridCol w:w="887"/>
        <w:gridCol w:w="5374"/>
      </w:tblGrid>
      <w:tr w:rsidR="00B5042A" w14:paraId="0BE1E135" w14:textId="77777777" w:rsidTr="00B5042A">
        <w:tc>
          <w:tcPr>
            <w:tcW w:w="14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D1F46E" w14:textId="77777777" w:rsidR="00B5042A" w:rsidRDefault="00B5042A">
            <w:pPr>
              <w:pStyle w:val="NormalWeb"/>
              <w:spacing w:before="0" w:beforeAutospacing="0" w:after="0" w:afterAutospacing="0"/>
              <w:rPr>
                <w:color w:val="444444"/>
              </w:rPr>
            </w:pPr>
            <w:r>
              <w:rPr>
                <w:color w:val="000000"/>
              </w:rPr>
              <w:t>Biotech (XBI)</w:t>
            </w:r>
          </w:p>
        </w:tc>
        <w:tc>
          <w:tcPr>
            <w:tcW w:w="741" w:type="dxa"/>
            <w:tcBorders>
              <w:top w:val="nil"/>
              <w:left w:val="nil"/>
              <w:bottom w:val="single" w:sz="8" w:space="0" w:color="auto"/>
              <w:right w:val="single" w:sz="8" w:space="0" w:color="auto"/>
            </w:tcBorders>
            <w:tcMar>
              <w:top w:w="0" w:type="dxa"/>
              <w:left w:w="108" w:type="dxa"/>
              <w:bottom w:w="0" w:type="dxa"/>
              <w:right w:w="108" w:type="dxa"/>
            </w:tcMar>
            <w:hideMark/>
          </w:tcPr>
          <w:p w14:paraId="229AF0A9" w14:textId="77777777" w:rsidR="00B5042A" w:rsidRDefault="00B5042A">
            <w:pPr>
              <w:pStyle w:val="NormalWeb"/>
              <w:spacing w:before="0" w:beforeAutospacing="0" w:after="0" w:afterAutospacing="0"/>
              <w:jc w:val="right"/>
              <w:rPr>
                <w:color w:val="444444"/>
              </w:rPr>
            </w:pPr>
            <w:r>
              <w:rPr>
                <w:color w:val="000000"/>
              </w:rPr>
              <w:t>0.96</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2D0F4EEC" w14:textId="77777777" w:rsidR="00B5042A" w:rsidRDefault="00B5042A">
            <w:pPr>
              <w:pStyle w:val="NormalWeb"/>
              <w:spacing w:before="0" w:beforeAutospacing="0" w:after="0" w:afterAutospacing="0"/>
              <w:jc w:val="right"/>
              <w:rPr>
                <w:color w:val="444444"/>
              </w:rPr>
            </w:pPr>
            <w:r>
              <w:rPr>
                <w:color w:val="000000"/>
              </w:rPr>
              <w:t>-10.27</w:t>
            </w:r>
          </w:p>
        </w:tc>
        <w:tc>
          <w:tcPr>
            <w:tcW w:w="901" w:type="dxa"/>
            <w:tcBorders>
              <w:top w:val="nil"/>
              <w:left w:val="nil"/>
              <w:bottom w:val="single" w:sz="8" w:space="0" w:color="auto"/>
              <w:right w:val="single" w:sz="8" w:space="0" w:color="auto"/>
            </w:tcBorders>
            <w:tcMar>
              <w:top w:w="0" w:type="dxa"/>
              <w:left w:w="108" w:type="dxa"/>
              <w:bottom w:w="0" w:type="dxa"/>
              <w:right w:w="108" w:type="dxa"/>
            </w:tcMar>
            <w:hideMark/>
          </w:tcPr>
          <w:p w14:paraId="3F53912C" w14:textId="77777777" w:rsidR="00B5042A" w:rsidRDefault="00B5042A">
            <w:pPr>
              <w:pStyle w:val="NormalWeb"/>
              <w:spacing w:before="0" w:beforeAutospacing="0" w:after="0" w:afterAutospacing="0"/>
              <w:jc w:val="right"/>
              <w:rPr>
                <w:color w:val="444444"/>
              </w:rPr>
            </w:pPr>
            <w:r>
              <w:rPr>
                <w:color w:val="000000"/>
              </w:rPr>
              <w:t>-19.58</w:t>
            </w:r>
          </w:p>
        </w:tc>
        <w:tc>
          <w:tcPr>
            <w:tcW w:w="5465" w:type="dxa"/>
            <w:tcBorders>
              <w:top w:val="nil"/>
              <w:left w:val="nil"/>
              <w:bottom w:val="single" w:sz="8" w:space="0" w:color="auto"/>
              <w:right w:val="single" w:sz="8" w:space="0" w:color="auto"/>
            </w:tcBorders>
            <w:tcMar>
              <w:top w:w="0" w:type="dxa"/>
              <w:left w:w="0" w:type="dxa"/>
              <w:bottom w:w="0" w:type="dxa"/>
              <w:right w:w="0" w:type="dxa"/>
            </w:tcMar>
            <w:hideMark/>
          </w:tcPr>
          <w:p w14:paraId="03F50BDF" w14:textId="77777777" w:rsidR="00B5042A" w:rsidRDefault="00B5042A">
            <w:pPr>
              <w:pStyle w:val="NormalWeb"/>
              <w:spacing w:before="0" w:beforeAutospacing="0" w:after="180" w:afterAutospacing="0"/>
              <w:rPr>
                <w:color w:val="444444"/>
              </w:rPr>
            </w:pPr>
            <w:r>
              <w:rPr>
                <w:color w:val="444444"/>
              </w:rPr>
              <w:t>Explaining 2021 is as simple as </w:t>
            </w:r>
            <w:hyperlink r:id="rId7" w:tgtFrame="_blank" w:history="1">
              <w:r>
                <w:rPr>
                  <w:rStyle w:val="Hyperlink"/>
                  <w:color w:val="007099"/>
                </w:rPr>
                <w:t>https://www.fiercebiotech.com/topic/failed-trials</w:t>
              </w:r>
            </w:hyperlink>
            <w:r>
              <w:rPr>
                <w:color w:val="444444"/>
              </w:rPr>
              <w:t xml:space="preserve">, needless to say, there were a lot of pipeline failures this year, a lot of pushed out read-outs/FDA decisions (FDA backlogs for decisions, site visits, </w:t>
            </w:r>
            <w:proofErr w:type="spellStart"/>
            <w:r>
              <w:rPr>
                <w:color w:val="444444"/>
              </w:rPr>
              <w:t>etc</w:t>
            </w:r>
            <w:proofErr w:type="spellEnd"/>
            <w:r>
              <w:rPr>
                <w:color w:val="444444"/>
              </w:rPr>
              <w:t>), lackluster M&amp;A for much of the year, and a ton of capital required to support the </w:t>
            </w:r>
            <w:hyperlink r:id="rId8" w:tgtFrame="_blank" w:history="1">
              <w:r>
                <w:rPr>
                  <w:rStyle w:val="Hyperlink"/>
                  <w:color w:val="007099"/>
                </w:rPr>
                <w:t>100+ IPOs</w:t>
              </w:r>
            </w:hyperlink>
            <w:r>
              <w:rPr>
                <w:color w:val="444444"/>
              </w:rPr>
              <w:t xml:space="preserve"> this year.  Yet, as we leave a very challenging 2021 environment, which saw material supply mid-year (funds freeing up capital for core longs/new IPOs) and end of year (some capital calls), sentiment isn’t quite as bad as some would expect (and it still feels like generalist interest could turn on a dime given the </w:t>
            </w:r>
            <w:proofErr w:type="gramStart"/>
            <w:r>
              <w:rPr>
                <w:color w:val="444444"/>
              </w:rPr>
              <w:t>amount</w:t>
            </w:r>
            <w:proofErr w:type="gramEnd"/>
            <w:r>
              <w:rPr>
                <w:color w:val="444444"/>
              </w:rPr>
              <w:t xml:space="preserve"> of times I’ve been asked for M&amp;A lists or “is XBI a good trade here” over the last month).  While some names have been abandoned (some of these biotech failures left for dead), the overall view exiting the year is that you </w:t>
            </w:r>
            <w:r>
              <w:rPr>
                <w:b/>
                <w:bCs/>
                <w:i/>
                <w:iCs/>
                <w:color w:val="444444"/>
              </w:rPr>
              <w:t>will still get paid if companies deliver good data / launches, etc</w:t>
            </w:r>
            <w:r>
              <w:rPr>
                <w:color w:val="444444"/>
              </w:rPr>
              <w:t xml:space="preserve">. As such, there is reason to embrace core positions here (even if “screaming longs” are still not everywhere in the group – aka, the XBI trade is still </w:t>
            </w:r>
            <w:proofErr w:type="spellStart"/>
            <w:r>
              <w:rPr>
                <w:color w:val="444444"/>
              </w:rPr>
              <w:t>tbd</w:t>
            </w:r>
            <w:proofErr w:type="spellEnd"/>
            <w:r>
              <w:rPr>
                <w:color w:val="444444"/>
              </w:rPr>
              <w:t xml:space="preserve"> even as some leg into single names), while investors also look for M&amp;A to get off to a quicker start in 2022.   Not to mention, there is still significant money in the venture capital space here, that continues to fund further innovation.</w:t>
            </w:r>
          </w:p>
          <w:p w14:paraId="6AD5170B" w14:textId="77777777" w:rsidR="00B5042A" w:rsidRDefault="00B5042A">
            <w:pPr>
              <w:pStyle w:val="NormalWeb"/>
              <w:spacing w:before="0" w:beforeAutospacing="0" w:after="0" w:afterAutospacing="0"/>
              <w:rPr>
                <w:color w:val="444444"/>
              </w:rPr>
            </w:pPr>
            <w:r>
              <w:rPr>
                <w:color w:val="444444"/>
              </w:rPr>
              <w:t>2022 Picks: ARWR, ASND, KYMR, RAPT, FOLD, INSM, NBIX, IMUX, HZNP</w:t>
            </w:r>
          </w:p>
        </w:tc>
      </w:tr>
    </w:tbl>
    <w:p w14:paraId="1ED4AAF1" w14:textId="77777777" w:rsidR="002E7471" w:rsidRDefault="002E7471"/>
    <w:sectPr w:rsidR="002E74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1C18A" w14:textId="77777777" w:rsidR="00B5042A" w:rsidRDefault="00B5042A" w:rsidP="00B5042A">
      <w:pPr>
        <w:spacing w:after="0" w:line="240" w:lineRule="auto"/>
      </w:pPr>
      <w:r>
        <w:separator/>
      </w:r>
    </w:p>
  </w:endnote>
  <w:endnote w:type="continuationSeparator" w:id="0">
    <w:p w14:paraId="3D8A7AC4" w14:textId="77777777" w:rsidR="00B5042A" w:rsidRDefault="00B5042A" w:rsidP="00B5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8F039" w14:textId="77777777" w:rsidR="00B5042A" w:rsidRDefault="00B50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9AB8C" w14:textId="587AC0E6" w:rsidR="00B5042A" w:rsidRDefault="00B5042A">
    <w:pPr>
      <w:pStyle w:val="Footer"/>
    </w:pPr>
    <w:r>
      <w:rPr>
        <w:noProof/>
      </w:rPr>
      <mc:AlternateContent>
        <mc:Choice Requires="wps">
          <w:drawing>
            <wp:anchor distT="0" distB="0" distL="114300" distR="114300" simplePos="0" relativeHeight="251659264" behindDoc="0" locked="0" layoutInCell="0" allowOverlap="1" wp14:anchorId="78470AA6" wp14:editId="7CF11D2D">
              <wp:simplePos x="0" y="0"/>
              <wp:positionH relativeFrom="page">
                <wp:posOffset>0</wp:posOffset>
              </wp:positionH>
              <wp:positionV relativeFrom="page">
                <wp:posOffset>9615170</wp:posOffset>
              </wp:positionV>
              <wp:extent cx="7772400" cy="252095"/>
              <wp:effectExtent l="0" t="0" r="0" b="14605"/>
              <wp:wrapNone/>
              <wp:docPr id="1" name="MSIPCM933c46bab6f2b57cc0841f17"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ED6E18" w14:textId="14D6266D" w:rsidR="00B5042A" w:rsidRPr="00B5042A" w:rsidRDefault="00B5042A" w:rsidP="00B5042A">
                          <w:pPr>
                            <w:spacing w:after="0"/>
                            <w:jc w:val="center"/>
                            <w:rPr>
                              <w:rFonts w:ascii="Arial" w:hAnsi="Arial" w:cs="Arial"/>
                              <w:color w:val="000000"/>
                              <w:sz w:val="20"/>
                            </w:rPr>
                          </w:pPr>
                          <w:r w:rsidRPr="00B5042A">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8470AA6" id="_x0000_t202" coordsize="21600,21600" o:spt="202" path="m,l,21600r21600,l21600,xe">
              <v:stroke joinstyle="miter"/>
              <v:path gradientshapeok="t" o:connecttype="rect"/>
            </v:shapetype>
            <v:shape id="MSIPCM933c46bab6f2b57cc0841f17" o:spid="_x0000_s1026" type="#_x0000_t202" alt="{&quot;HashCode&quot;:-103803105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" o:allowincell="f" filled="f" stroked="f" strokeweight=".5pt">
              <v:fill o:detectmouseclick="t"/>
              <v:textbox inset=",0,,0">
                <w:txbxContent>
                  <w:p w14:paraId="6CED6E18" w14:textId="14D6266D" w:rsidR="00B5042A" w:rsidRPr="00B5042A" w:rsidRDefault="00B5042A" w:rsidP="00B5042A">
                    <w:pPr>
                      <w:spacing w:after="0"/>
                      <w:jc w:val="center"/>
                      <w:rPr>
                        <w:rFonts w:ascii="Arial" w:hAnsi="Arial" w:cs="Arial"/>
                        <w:color w:val="000000"/>
                        <w:sz w:val="20"/>
                      </w:rPr>
                    </w:pPr>
                    <w:r w:rsidRPr="00B5042A">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709DC" w14:textId="77777777" w:rsidR="00B5042A" w:rsidRDefault="00B50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7261A" w14:textId="77777777" w:rsidR="00B5042A" w:rsidRDefault="00B5042A" w:rsidP="00B5042A">
      <w:pPr>
        <w:spacing w:after="0" w:line="240" w:lineRule="auto"/>
      </w:pPr>
      <w:r>
        <w:separator/>
      </w:r>
    </w:p>
  </w:footnote>
  <w:footnote w:type="continuationSeparator" w:id="0">
    <w:p w14:paraId="7F0B7AAB" w14:textId="77777777" w:rsidR="00B5042A" w:rsidRDefault="00B5042A" w:rsidP="00B5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EDDD6" w14:textId="77777777" w:rsidR="00B5042A" w:rsidRDefault="00B50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1B1C0" w14:textId="77777777" w:rsidR="00B5042A" w:rsidRDefault="00B50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1C54" w14:textId="77777777" w:rsidR="00B5042A" w:rsidRDefault="00B50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B5042A"/>
    <w:rsid w:val="000105ED"/>
    <w:rsid w:val="0001219D"/>
    <w:rsid w:val="00023362"/>
    <w:rsid w:val="00031C9F"/>
    <w:rsid w:val="000351D4"/>
    <w:rsid w:val="00063269"/>
    <w:rsid w:val="000728DA"/>
    <w:rsid w:val="000804BF"/>
    <w:rsid w:val="00093E96"/>
    <w:rsid w:val="000C0266"/>
    <w:rsid w:val="00115221"/>
    <w:rsid w:val="00117322"/>
    <w:rsid w:val="00123BD2"/>
    <w:rsid w:val="00140A23"/>
    <w:rsid w:val="00190CBF"/>
    <w:rsid w:val="00197051"/>
    <w:rsid w:val="001D62DC"/>
    <w:rsid w:val="001F21C0"/>
    <w:rsid w:val="00212E3F"/>
    <w:rsid w:val="002343B3"/>
    <w:rsid w:val="00267604"/>
    <w:rsid w:val="002756CE"/>
    <w:rsid w:val="0027695C"/>
    <w:rsid w:val="00293C65"/>
    <w:rsid w:val="0029404F"/>
    <w:rsid w:val="002966BC"/>
    <w:rsid w:val="002A3111"/>
    <w:rsid w:val="002A5F9C"/>
    <w:rsid w:val="002A787B"/>
    <w:rsid w:val="002E232D"/>
    <w:rsid w:val="002E7471"/>
    <w:rsid w:val="002F0398"/>
    <w:rsid w:val="00304A58"/>
    <w:rsid w:val="00322165"/>
    <w:rsid w:val="003242B2"/>
    <w:rsid w:val="003C0EF5"/>
    <w:rsid w:val="003C4CDE"/>
    <w:rsid w:val="003E533F"/>
    <w:rsid w:val="004037C2"/>
    <w:rsid w:val="00404E42"/>
    <w:rsid w:val="00450C1B"/>
    <w:rsid w:val="00475FA8"/>
    <w:rsid w:val="00482D5D"/>
    <w:rsid w:val="004863DE"/>
    <w:rsid w:val="00487700"/>
    <w:rsid w:val="004907AF"/>
    <w:rsid w:val="00495D31"/>
    <w:rsid w:val="004C5534"/>
    <w:rsid w:val="0050189F"/>
    <w:rsid w:val="00507C94"/>
    <w:rsid w:val="00511372"/>
    <w:rsid w:val="00513A38"/>
    <w:rsid w:val="00516F03"/>
    <w:rsid w:val="00524513"/>
    <w:rsid w:val="00594B6B"/>
    <w:rsid w:val="005D6449"/>
    <w:rsid w:val="005D7A68"/>
    <w:rsid w:val="005E3BB8"/>
    <w:rsid w:val="005E49BB"/>
    <w:rsid w:val="005F51B7"/>
    <w:rsid w:val="00601D81"/>
    <w:rsid w:val="00612AB5"/>
    <w:rsid w:val="00645092"/>
    <w:rsid w:val="00655D93"/>
    <w:rsid w:val="006A50C7"/>
    <w:rsid w:val="006B0345"/>
    <w:rsid w:val="006B22C8"/>
    <w:rsid w:val="006E6704"/>
    <w:rsid w:val="006F6C7A"/>
    <w:rsid w:val="0070304B"/>
    <w:rsid w:val="00724317"/>
    <w:rsid w:val="00741FEC"/>
    <w:rsid w:val="0074584C"/>
    <w:rsid w:val="00754221"/>
    <w:rsid w:val="00770FC6"/>
    <w:rsid w:val="007752B8"/>
    <w:rsid w:val="00781969"/>
    <w:rsid w:val="0078410C"/>
    <w:rsid w:val="007A0835"/>
    <w:rsid w:val="007A20D9"/>
    <w:rsid w:val="007B1964"/>
    <w:rsid w:val="007D685A"/>
    <w:rsid w:val="007E0342"/>
    <w:rsid w:val="007E0627"/>
    <w:rsid w:val="007E6806"/>
    <w:rsid w:val="00821040"/>
    <w:rsid w:val="0083725C"/>
    <w:rsid w:val="00837EDD"/>
    <w:rsid w:val="00891F8C"/>
    <w:rsid w:val="008B61A0"/>
    <w:rsid w:val="008B7D05"/>
    <w:rsid w:val="008E1955"/>
    <w:rsid w:val="00900D43"/>
    <w:rsid w:val="009251FE"/>
    <w:rsid w:val="00974AB5"/>
    <w:rsid w:val="00995560"/>
    <w:rsid w:val="009C5C5A"/>
    <w:rsid w:val="00A21A00"/>
    <w:rsid w:val="00A21CEB"/>
    <w:rsid w:val="00A3210C"/>
    <w:rsid w:val="00A56A3A"/>
    <w:rsid w:val="00A66725"/>
    <w:rsid w:val="00AC735B"/>
    <w:rsid w:val="00AE340D"/>
    <w:rsid w:val="00AE77CB"/>
    <w:rsid w:val="00AF2297"/>
    <w:rsid w:val="00AF5E8E"/>
    <w:rsid w:val="00B317BB"/>
    <w:rsid w:val="00B5042A"/>
    <w:rsid w:val="00B57852"/>
    <w:rsid w:val="00B74629"/>
    <w:rsid w:val="00B82572"/>
    <w:rsid w:val="00B8294B"/>
    <w:rsid w:val="00B874A4"/>
    <w:rsid w:val="00B97BBE"/>
    <w:rsid w:val="00BA3E3F"/>
    <w:rsid w:val="00BA6938"/>
    <w:rsid w:val="00BB23A4"/>
    <w:rsid w:val="00BC19F6"/>
    <w:rsid w:val="00C24DAA"/>
    <w:rsid w:val="00C67032"/>
    <w:rsid w:val="00C72384"/>
    <w:rsid w:val="00C73D12"/>
    <w:rsid w:val="00C91806"/>
    <w:rsid w:val="00CD703A"/>
    <w:rsid w:val="00CF342E"/>
    <w:rsid w:val="00D21CB8"/>
    <w:rsid w:val="00D47860"/>
    <w:rsid w:val="00D61402"/>
    <w:rsid w:val="00D70C87"/>
    <w:rsid w:val="00D842AE"/>
    <w:rsid w:val="00DB0FAE"/>
    <w:rsid w:val="00DB1D88"/>
    <w:rsid w:val="00DB54DF"/>
    <w:rsid w:val="00DF7CD6"/>
    <w:rsid w:val="00E12ECE"/>
    <w:rsid w:val="00E2253A"/>
    <w:rsid w:val="00E764A7"/>
    <w:rsid w:val="00E971C9"/>
    <w:rsid w:val="00EC6F38"/>
    <w:rsid w:val="00ED7223"/>
    <w:rsid w:val="00F177D4"/>
    <w:rsid w:val="00F35C0D"/>
    <w:rsid w:val="00F42014"/>
    <w:rsid w:val="00FC1A66"/>
    <w:rsid w:val="00FD3923"/>
    <w:rsid w:val="00FD5AE1"/>
    <w:rsid w:val="00FE03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CB06F"/>
  <w15:chartTrackingRefBased/>
  <w15:docId w15:val="{22853C4B-A725-47A6-9818-BF628556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4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42A"/>
    <w:rPr>
      <w:color w:val="0000FF"/>
      <w:u w:val="single"/>
    </w:rPr>
  </w:style>
  <w:style w:type="paragraph" w:styleId="Header">
    <w:name w:val="header"/>
    <w:basedOn w:val="Normal"/>
    <w:link w:val="HeaderChar"/>
    <w:uiPriority w:val="99"/>
    <w:unhideWhenUsed/>
    <w:rsid w:val="00B50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42A"/>
  </w:style>
  <w:style w:type="paragraph" w:styleId="Footer">
    <w:name w:val="footer"/>
    <w:basedOn w:val="Normal"/>
    <w:link w:val="FooterChar"/>
    <w:uiPriority w:val="99"/>
    <w:unhideWhenUsed/>
    <w:rsid w:val="00B50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109532">
      <w:bodyDiv w:val="1"/>
      <w:marLeft w:val="0"/>
      <w:marRight w:val="0"/>
      <w:marTop w:val="0"/>
      <w:marBottom w:val="0"/>
      <w:divBdr>
        <w:top w:val="none" w:sz="0" w:space="0" w:color="auto"/>
        <w:left w:val="none" w:sz="0" w:space="0" w:color="auto"/>
        <w:bottom w:val="none" w:sz="0" w:space="0" w:color="auto"/>
        <w:right w:val="none" w:sz="0" w:space="0" w:color="auto"/>
      </w:divBdr>
      <w:divsChild>
        <w:div w:id="556628773">
          <w:marLeft w:val="0"/>
          <w:marRight w:val="0"/>
          <w:marTop w:val="0"/>
          <w:marBottom w:val="0"/>
          <w:divBdr>
            <w:top w:val="none" w:sz="0" w:space="0" w:color="auto"/>
            <w:left w:val="none" w:sz="0" w:space="0" w:color="auto"/>
            <w:bottom w:val="none" w:sz="0" w:space="0" w:color="auto"/>
            <w:right w:val="none" w:sz="0" w:space="0" w:color="auto"/>
          </w:divBdr>
          <w:divsChild>
            <w:div w:id="1664896547">
              <w:marLeft w:val="0"/>
              <w:marRight w:val="0"/>
              <w:marTop w:val="0"/>
              <w:marBottom w:val="0"/>
              <w:divBdr>
                <w:top w:val="none" w:sz="0" w:space="0" w:color="auto"/>
                <w:left w:val="none" w:sz="0" w:space="0" w:color="auto"/>
                <w:bottom w:val="none" w:sz="0" w:space="0" w:color="auto"/>
                <w:right w:val="none" w:sz="0" w:space="0" w:color="auto"/>
              </w:divBdr>
            </w:div>
          </w:divsChild>
        </w:div>
        <w:div w:id="513810691">
          <w:marLeft w:val="0"/>
          <w:marRight w:val="0"/>
          <w:marTop w:val="0"/>
          <w:marBottom w:val="0"/>
          <w:divBdr>
            <w:top w:val="none" w:sz="0" w:space="0" w:color="auto"/>
            <w:left w:val="none" w:sz="0" w:space="0" w:color="auto"/>
            <w:bottom w:val="none" w:sz="0" w:space="0" w:color="auto"/>
            <w:right w:val="none" w:sz="0" w:space="0" w:color="auto"/>
          </w:divBdr>
          <w:divsChild>
            <w:div w:id="1996717479">
              <w:marLeft w:val="0"/>
              <w:marRight w:val="0"/>
              <w:marTop w:val="0"/>
              <w:marBottom w:val="0"/>
              <w:divBdr>
                <w:top w:val="none" w:sz="0" w:space="0" w:color="auto"/>
                <w:left w:val="none" w:sz="0" w:space="0" w:color="auto"/>
                <w:bottom w:val="none" w:sz="0" w:space="0" w:color="auto"/>
                <w:right w:val="none" w:sz="0" w:space="0" w:color="auto"/>
              </w:divBdr>
            </w:div>
          </w:divsChild>
        </w:div>
        <w:div w:id="389422378">
          <w:marLeft w:val="0"/>
          <w:marRight w:val="0"/>
          <w:marTop w:val="0"/>
          <w:marBottom w:val="0"/>
          <w:divBdr>
            <w:top w:val="none" w:sz="0" w:space="0" w:color="auto"/>
            <w:left w:val="none" w:sz="0" w:space="0" w:color="auto"/>
            <w:bottom w:val="none" w:sz="0" w:space="0" w:color="auto"/>
            <w:right w:val="none" w:sz="0" w:space="0" w:color="auto"/>
          </w:divBdr>
        </w:div>
        <w:div w:id="1477213989">
          <w:marLeft w:val="0"/>
          <w:marRight w:val="0"/>
          <w:marTop w:val="0"/>
          <w:marBottom w:val="0"/>
          <w:divBdr>
            <w:top w:val="none" w:sz="0" w:space="0" w:color="auto"/>
            <w:left w:val="none" w:sz="0" w:space="0" w:color="auto"/>
            <w:bottom w:val="none" w:sz="0" w:space="0" w:color="auto"/>
            <w:right w:val="none" w:sz="0" w:space="0" w:color="auto"/>
          </w:divBdr>
          <w:divsChild>
            <w:div w:id="3719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dpts.com/ipo-tracker/"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fiercebiotech.com/topic/failed-trials"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eo.ubs.com/shared/d2DPfV36GK"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Shibin (AllianzGI)</dc:creator>
  <cp:keywords/>
  <dc:description/>
  <cp:lastModifiedBy>Xie, Shibin (AllianzGI)</cp:lastModifiedBy>
  <cp:revision>1</cp:revision>
  <dcterms:created xsi:type="dcterms:W3CDTF">2022-01-03T17:48:00Z</dcterms:created>
  <dcterms:modified xsi:type="dcterms:W3CDTF">2022-01-03T17:49:00Z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1d2ef4-471a-450b-b804-da016b8121de_Enabled">
    <vt:lpwstr>true</vt:lpwstr>
  </property>
  <property fmtid="{D5CDD505-2E9C-101B-9397-08002B2CF9AE}" pid="3" name="MSIP_Label_511d2ef4-471a-450b-b804-da016b8121de_SetDate">
    <vt:lpwstr>2022-01-03T17:49:10Z</vt:lpwstr>
  </property>
  <property fmtid="{D5CDD505-2E9C-101B-9397-08002B2CF9AE}" pid="4" name="MSIP_Label_511d2ef4-471a-450b-b804-da016b8121de_Method">
    <vt:lpwstr>Standard</vt:lpwstr>
  </property>
  <property fmtid="{D5CDD505-2E9C-101B-9397-08002B2CF9AE}" pid="5" name="MSIP_Label_511d2ef4-471a-450b-b804-da016b8121de_Name">
    <vt:lpwstr>511d2ef4-471a-450b-b804-da016b8121de</vt:lpwstr>
  </property>
  <property fmtid="{D5CDD505-2E9C-101B-9397-08002B2CF9AE}" pid="6" name="MSIP_Label_511d2ef4-471a-450b-b804-da016b8121de_SiteId">
    <vt:lpwstr>a1eacbd5-fb0e-46f1-81e3-4965ea8e45bb</vt:lpwstr>
  </property>
  <property fmtid="{D5CDD505-2E9C-101B-9397-08002B2CF9AE}" pid="7" name="MSIP_Label_511d2ef4-471a-450b-b804-da016b8121de_ActionId">
    <vt:lpwstr>0c3ae7e0-db22-460d-9a02-35ddd9ccac10</vt:lpwstr>
  </property>
  <property fmtid="{D5CDD505-2E9C-101B-9397-08002B2CF9AE}" pid="8" name="MSIP_Label_511d2ef4-471a-450b-b804-da016b8121de_ContentBits">
    <vt:lpwstr>2</vt:lpwstr>
  </property>
</Properties>
</file>