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88a35a5e8b43a2c77d7fa64c3400357741e9a00"/>
    <w:p>
      <w:pPr>
        <w:pStyle w:val="Heading1"/>
      </w:pPr>
      <w:r>
        <w:t xml:space="preserve">BTP Project — Cross-Dataset Generalization of ML-Based Intrusion Detection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Evaluating and improving the cross-dataset generalization of machine-learning</w:t>
      </w:r>
      <w:r>
        <w:t xml:space="preserve"> </w:t>
      </w:r>
      <w:r>
        <w:t xml:space="preserve">intrusion detection systems across CIC-IDS-2017, UNSW-NB15, and TON_IoT, using</w:t>
      </w:r>
      <w:r>
        <w:t xml:space="preserve"> </w:t>
      </w:r>
      <w:r>
        <w:t xml:space="preserve">metaheuristic/bio-inspired optimization for transferable feature selection.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Shivam Chauhan (2023UIN3323), Shantanu Agarwal (2023UIN3330), Deepesh (2023UIN3358)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Dr. Preeti Bansal — Department of Information Technology, NSUT</w:t>
      </w:r>
    </w:p>
    <w:p>
      <w:r>
        <w:pict>
          <v:rect style="width:0;height:1.5pt" o:hralign="center" o:hrstd="t" o:hr="t"/>
        </w:pict>
      </w:r>
    </w:p>
    <w:bookmarkStart w:id="20" w:name="document-set"/>
    <w:p>
      <w:pPr>
        <w:pStyle w:val="Heading2"/>
      </w:pPr>
      <w:r>
        <w:t xml:space="preserve">Document set</w:t>
      </w:r>
    </w:p>
    <w:bookmarkStart w:id="11" w:name="submission-deliverables-mid-semester"/>
    <w:p>
      <w:pPr>
        <w:pStyle w:val="Heading3"/>
      </w:pPr>
      <w:r>
        <w:t xml:space="preserve">Submission deliverables (mid-semester)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Mid-Semester Report</w:t>
            </w:r>
            <w:r>
              <w:t xml:space="preserve"> </w:t>
            </w:r>
            <w:r>
              <w:t xml:space="preserve">(18 pp)</w:t>
            </w:r>
          </w:p>
        </w:tc>
        <w:tc>
          <w:tcPr/>
          <w:p>
            <w:pPr>
              <w:pStyle w:val="Compact"/>
            </w:pPr>
            <w:r>
              <w:t xml:space="preserve">The signable report with all required sections (title page, abstract, introduction, motivation, literature survey, problem statement, objectives, methodology, implementation, results, conclusion, references).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Presentation</w:t>
            </w:r>
            <w:r>
              <w:t xml:space="preserve"> </w:t>
            </w:r>
            <w:r>
              <w:t xml:space="preserve">(20 slides)</w:t>
            </w:r>
          </w:p>
        </w:tc>
        <w:tc>
          <w:tcPr/>
          <w:p>
            <w:pPr>
              <w:pStyle w:val="Compact"/>
            </w:pPr>
            <w:r>
              <w:t xml:space="preserve">Slide deck for the 10-minute presentation. Exports: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  <w:r>
              <w:t xml:space="preserve"> </w:t>
            </w:r>
            <w:r>
              <w:t xml:space="preserve">(editable),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(handout).</w:t>
            </w:r>
          </w:p>
        </w:tc>
      </w:tr>
    </w:tbl>
    <w:bookmarkEnd w:id="11"/>
    <w:bookmarkStart w:id="14" w:name="preparation-understanding"/>
    <w:p>
      <w:pPr>
        <w:pStyle w:val="Heading3"/>
      </w:pPr>
      <w:r>
        <w:t xml:space="preserve">Preparation / understanding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We Are Doing (plain language)</w:t>
            </w:r>
          </w:p>
        </w:tc>
        <w:tc>
          <w:tcPr/>
          <w:p>
            <w:pPr>
              <w:pStyle w:val="Compact"/>
            </w:pPr>
            <w:r>
              <w:t xml:space="preserve">Team explainer: the whole project in simple words, analogies, glossary.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Viva Q&amp;A Prep</w:t>
            </w:r>
          </w:p>
        </w:tc>
        <w:tc>
          <w:tcPr/>
          <w:p>
            <w:pPr>
              <w:pStyle w:val="Compact"/>
            </w:pPr>
            <w:r>
              <w:t xml:space="preserve">55 likely questions with model answers (including per-paper questions).</w:t>
            </w:r>
          </w:p>
        </w:tc>
      </w:tr>
    </w:tbl>
    <w:bookmarkEnd w:id="14"/>
    <w:bookmarkStart w:id="19" w:name="supporting-analysis"/>
    <w:p>
      <w:pPr>
        <w:pStyle w:val="Heading3"/>
      </w:pPr>
      <w:r>
        <w:t xml:space="preserve">Supporting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Dataset Report</w:t>
            </w:r>
          </w:p>
        </w:tc>
        <w:tc>
          <w:tcPr/>
          <w:p>
            <w:pPr>
              <w:pStyle w:val="Compact"/>
            </w:pPr>
            <w:r>
              <w:t xml:space="preserve">First-hand analysis of the three datasets, feature-schema mismatch, taxonomy mapping.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Literature Review (15 papers)</w:t>
            </w:r>
          </w:p>
        </w:tc>
        <w:tc>
          <w:tcPr/>
          <w:p>
            <w:pPr>
              <w:pStyle w:val="Compact"/>
            </w:pPr>
            <w:r>
              <w:t xml:space="preserve">Focused review with detailed per-paper summaries and the gap-synthesis table.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Research Gap, Objectives &amp; Scope</w:t>
            </w:r>
          </w:p>
        </w:tc>
        <w:tc>
          <w:tcPr/>
          <w:p>
            <w:pPr>
              <w:pStyle w:val="Compact"/>
            </w:pPr>
            <w:r>
              <w:t xml:space="preserve">Formal gap statements, novelty, objectives, scope, risks.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Methodology &amp; Plan</w:t>
            </w:r>
          </w:p>
        </w:tc>
        <w:tc>
          <w:tcPr/>
          <w:p>
            <w:pPr>
              <w:pStyle w:val="Compact"/>
            </w:pPr>
            <w:r>
              <w:t xml:space="preserve">7-phase plan, evaluation protocol, fitness-function design, timeline.</w:t>
            </w:r>
          </w:p>
        </w:tc>
      </w:tr>
    </w:tbl>
    <w:p>
      <w:pPr>
        <w:pStyle w:val="BodyText"/>
      </w:pPr>
      <w:r>
        <w:t xml:space="preserve">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also has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exports.</w:t>
      </w:r>
    </w:p>
    <w:bookmarkEnd w:id="19"/>
    <w:bookmarkEnd w:id="20"/>
    <w:bookmarkStart w:id="21" w:name="supporting-code"/>
    <w:p>
      <w:pPr>
        <w:pStyle w:val="Heading2"/>
      </w:pPr>
      <w:r>
        <w:t xml:space="preserve">Supporting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src/analyze_datasets.py</w:t>
      </w:r>
      <w:r>
        <w:t xml:space="preserve"> </w:t>
      </w:r>
      <w:r>
        <w:t xml:space="preserve">— computes dataset statistics from the raw CSVs.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src/generate_report_assets.py</w:t>
      </w:r>
      <w:r>
        <w:t xml:space="preserve"> </w:t>
      </w:r>
      <w:r>
        <w:t xml:space="preserve">— regenerates</w:t>
      </w:r>
      <w:r>
        <w:t xml:space="preserve"> </w:t>
      </w:r>
      <w:r>
        <w:rPr>
          <w:rStyle w:val="VerbatimChar"/>
        </w:rPr>
        <w:t xml:space="preserve">dataset_stats.json</w:t>
      </w:r>
      <w:r>
        <w:t xml:space="preserve"> </w:t>
      </w:r>
      <w:r>
        <w:t xml:space="preserve">and the class-distribution figures.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src/generate_extra_figures.py</w:t>
      </w:r>
      <w:r>
        <w:t xml:space="preserve"> </w:t>
      </w:r>
      <w:r>
        <w:t xml:space="preserve">— generates the pipeline, Gantt and shared-subspace figures.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src/baseline_cross_dataset.py</w:t>
      </w:r>
      <w:r>
        <w:t xml:space="preserve"> </w:t>
      </w:r>
      <w:r>
        <w:t xml:space="preserve">— trains the baseline models and produces 3×3 cross-dataset metric matrices.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src/aggregate_baseline.py</w:t>
      </w:r>
      <w:r>
        <w:t xml:space="preserve"> </w:t>
      </w:r>
      <w:r>
        <w:t xml:space="preserve">— aggregates per-model matrices into</w:t>
      </w:r>
      <w:r>
        <w:t xml:space="preserve"> </w:t>
      </w:r>
      <w:r>
        <w:rPr>
          <w:rStyle w:val="VerbatimChar"/>
        </w:rPr>
        <w:t xml:space="preserve">results/baseline_summary.md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src/baseline_figures.py</w:t>
      </w:r>
      <w:r>
        <w:t xml:space="preserve"> </w:t>
      </w:r>
      <w:r>
        <w:t xml:space="preserve">— generates the baseline-result figures.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src/metaheuristic_fs.py</w:t>
      </w:r>
      <w:r>
        <w:t xml:space="preserve"> </w:t>
      </w:r>
      <w:r>
        <w:t xml:space="preserve">— GA + binary PSO with a</w:t>
      </w:r>
      <w:r>
        <w:t xml:space="preserve"> </w:t>
      </w:r>
      <w:r>
        <w:rPr>
          <w:b/>
          <w:bCs/>
        </w:rPr>
        <w:t xml:space="preserve">cross-dataset fitness</w:t>
      </w:r>
      <w:r>
        <w:t xml:space="preserve"> </w:t>
      </w:r>
      <w:r>
        <w:t xml:space="preserve">(raw-feature baseline attempt).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src/domain_aligned_fs.py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DA-MFS</w:t>
      </w:r>
      <w:r>
        <w:t xml:space="preserve">: domain alignment + GA/PSO feature selection (main result).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src/dataset_stats.json</w:t>
      </w:r>
      <w:r>
        <w:t xml:space="preserve"> </w:t>
      </w:r>
      <w:r>
        <w:t xml:space="preserve">— measured statistics (rows, class distributions, NaN/Inf counts).</w:t>
      </w:r>
    </w:p>
    <w:bookmarkEnd w:id="21"/>
    <w:bookmarkStart w:id="22" w:name="baseline-result-full-datasets"/>
    <w:p>
      <w:pPr>
        <w:pStyle w:val="Heading2"/>
      </w:pPr>
      <w:r>
        <w:t xml:space="preserve">Baseline result (full datasets)</w:t>
      </w:r>
    </w:p>
    <w:p>
      <w:pPr>
        <w:pStyle w:val="FirstParagraph"/>
      </w:pPr>
      <w:r>
        <w:t xml:space="preserve">Five ensemble models trained on the</w:t>
      </w:r>
      <w:r>
        <w:t xml:space="preserve"> </w:t>
      </w:r>
      <w:r>
        <w:rPr>
          <w:b/>
          <w:bCs/>
        </w:rPr>
        <w:t xml:space="preserve">entire</w:t>
      </w:r>
      <w:r>
        <w:t xml:space="preserve"> </w:t>
      </w:r>
      <w:r>
        <w:t xml:space="preserve">datasets: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Same-dataset Acc</w:t>
            </w:r>
          </w:p>
        </w:tc>
        <w:tc>
          <w:tcPr/>
          <w:p>
            <w:pPr>
              <w:pStyle w:val="Compact"/>
            </w:pPr>
            <w:r>
              <w:t xml:space="preserve">Cross-dataset Acc</w:t>
            </w:r>
          </w:p>
        </w:tc>
        <w:tc>
          <w:tcPr/>
          <w:p>
            <w:pPr>
              <w:pStyle w:val="Compact"/>
            </w:pPr>
            <w:r>
              <w:t xml:space="preserve">Cross-dataset Bal-Acc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0.9666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0.4650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0.9622</w:t>
            </w:r>
          </w:p>
        </w:tc>
        <w:tc>
          <w:tcPr/>
          <w:p>
            <w:pPr>
              <w:pStyle w:val="Compact"/>
            </w:pPr>
            <w:r>
              <w:t xml:space="preserve">0.4150</w:t>
            </w:r>
          </w:p>
        </w:tc>
        <w:tc>
          <w:tcPr/>
          <w:p>
            <w:pPr>
              <w:pStyle w:val="Compact"/>
            </w:pPr>
            <w:r>
              <w:t xml:space="preserve">0.4760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Hist. Grad. Boosting</w:t>
            </w:r>
          </w:p>
        </w:tc>
        <w:tc>
          <w:tcPr/>
          <w:p>
            <w:pPr>
              <w:pStyle w:val="Compact"/>
            </w:pPr>
            <w:r>
              <w:t xml:space="preserve">0.9638</w:t>
            </w:r>
          </w:p>
        </w:tc>
        <w:tc>
          <w:tcPr/>
          <w:p>
            <w:pPr>
              <w:pStyle w:val="Compact"/>
            </w:pPr>
            <w:r>
              <w:t xml:space="preserve">0.4179</w:t>
            </w:r>
          </w:p>
        </w:tc>
        <w:tc>
          <w:tcPr/>
          <w:p>
            <w:pPr>
              <w:pStyle w:val="Compact"/>
            </w:pPr>
            <w:r>
              <w:t xml:space="preserve">0.4941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0.9602</w:t>
            </w:r>
          </w:p>
        </w:tc>
        <w:tc>
          <w:tcPr/>
          <w:p>
            <w:pPr>
              <w:pStyle w:val="Compact"/>
            </w:pPr>
            <w:r>
              <w:t xml:space="preserve">0.4027</w:t>
            </w:r>
          </w:p>
        </w:tc>
        <w:tc>
          <w:tcPr/>
          <w:p>
            <w:pPr>
              <w:pStyle w:val="Compact"/>
            </w:pPr>
            <w:r>
              <w:t xml:space="preserve">0.4672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Soft-voting</w:t>
            </w:r>
          </w:p>
        </w:tc>
        <w:tc>
          <w:tcPr/>
          <w:p>
            <w:pPr>
              <w:pStyle w:val="Compact"/>
            </w:pPr>
            <w:r>
              <w:t xml:space="preserve">0.9656</w:t>
            </w:r>
          </w:p>
        </w:tc>
        <w:tc>
          <w:tcPr/>
          <w:p>
            <w:pPr>
              <w:pStyle w:val="Compact"/>
            </w:pPr>
            <w:r>
              <w:t xml:space="preserve">0.3968</w:t>
            </w:r>
          </w:p>
        </w:tc>
        <w:tc>
          <w:tcPr/>
          <w:p>
            <w:pPr>
              <w:pStyle w:val="Compact"/>
            </w:pPr>
            <w:r>
              <w:t xml:space="preserve">0.4624</w:t>
            </w:r>
          </w:p>
        </w:tc>
      </w:tr>
    </w:tbl>
    <w:p>
      <w:pPr>
        <w:pStyle w:val="BodyText"/>
      </w:pPr>
      <w:r>
        <w:t xml:space="preserve">Cross-dataset balanced accuracy ≈ 0.46–0.49 (random chance = 0.50), reproducing the</w:t>
      </w:r>
      <w:r>
        <w:t xml:space="preserve"> </w:t>
      </w:r>
      <w:r>
        <w:t xml:space="preserve">generalisation gap of [1], [2].</w:t>
      </w:r>
    </w:p>
    <w:bookmarkEnd w:id="22"/>
    <w:bookmarkStart w:id="23" w:name="X02cb4de6dc600b1a971f86878965eaa937c59fe"/>
    <w:p>
      <w:pPr>
        <w:pStyle w:val="Heading2"/>
      </w:pPr>
      <w:r>
        <w:t xml:space="preserve">DA-MFS optimisation result (main contribution)</w:t>
      </w:r>
    </w:p>
    <w:p>
      <w:pPr>
        <w:pStyle w:val="FirstParagraph"/>
      </w:pPr>
      <w:r>
        <w:t xml:space="preserve">Plain feature selection on raw features barely helps, because the same feature has a different</w:t>
      </w:r>
      <w:r>
        <w:t xml:space="preserve"> </w:t>
      </w:r>
      <w:r>
        <w:t xml:space="preserve">distribution in each dataset.</w:t>
      </w:r>
      <w:r>
        <w:t xml:space="preserve"> </w:t>
      </w:r>
      <w:r>
        <w:rPr>
          <w:b/>
          <w:bCs/>
        </w:rPr>
        <w:t xml:space="preserve">DA-MFS</w:t>
      </w:r>
      <w:r>
        <w:t xml:space="preserve"> </w:t>
      </w:r>
      <w:r>
        <w:t xml:space="preserve">first aligns each dataset’s feature marginals (per-dataset</w:t>
      </w:r>
      <w:r>
        <w:t xml:space="preserve"> </w:t>
      </w:r>
      <w:r>
        <w:t xml:space="preserve">quantile transform → normal) and then uses a Genetic Algorithm with a</w:t>
      </w:r>
      <w:r>
        <w:t xml:space="preserve"> </w:t>
      </w:r>
      <w:r>
        <w:rPr>
          <w:b/>
          <w:bCs/>
        </w:rPr>
        <w:t xml:space="preserve">cross-dataset fitness</w:t>
      </w:r>
      <w:r>
        <w:t xml:space="preserve"> </w:t>
      </w:r>
      <w:r>
        <w:t xml:space="preserve">to</w:t>
      </w:r>
      <w:r>
        <w:t xml:space="preserve"> </w:t>
      </w:r>
      <w:r>
        <w:t xml:space="preserve">select a transferable subset. Full-data cross-dataset results (mean over 6 train→test pairs):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Attack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Raw, all 12 features</w:t>
            </w:r>
          </w:p>
        </w:tc>
        <w:tc>
          <w:tcPr/>
          <w:p>
            <w:pPr>
              <w:pStyle w:val="Compact"/>
            </w:pPr>
            <w:r>
              <w:t xml:space="preserve">0.3726</w:t>
            </w:r>
          </w:p>
        </w:tc>
        <w:tc>
          <w:tcPr/>
          <w:p>
            <w:pPr>
              <w:pStyle w:val="Compact"/>
            </w:pPr>
            <w:r>
              <w:t xml:space="preserve">0.4650</w:t>
            </w:r>
          </w:p>
        </w:tc>
        <w:tc>
          <w:tcPr/>
          <w:p>
            <w:pPr>
              <w:pStyle w:val="Compact"/>
            </w:pPr>
            <w:r>
              <w:t xml:space="preserve">0.3076</w:t>
            </w:r>
          </w:p>
        </w:tc>
        <w:tc>
          <w:tcPr/>
          <w:p>
            <w:pPr>
              <w:pStyle w:val="Compact"/>
            </w:pPr>
            <w:r>
              <w:t xml:space="preserve">0.4789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Aligned, all 12 features</w:t>
            </w:r>
          </w:p>
        </w:tc>
        <w:tc>
          <w:tcPr/>
          <w:p>
            <w:pPr>
              <w:pStyle w:val="Compact"/>
            </w:pPr>
            <w:r>
              <w:t xml:space="preserve">0.4776</w:t>
            </w:r>
          </w:p>
        </w:tc>
        <w:tc>
          <w:tcPr/>
          <w:p>
            <w:pPr>
              <w:pStyle w:val="Compact"/>
            </w:pPr>
            <w:r>
              <w:t xml:space="preserve">0.5298</w:t>
            </w:r>
          </w:p>
        </w:tc>
        <w:tc>
          <w:tcPr/>
          <w:p>
            <w:pPr>
              <w:pStyle w:val="Compact"/>
            </w:pPr>
            <w:r>
              <w:t xml:space="preserve">0.3845</w:t>
            </w:r>
          </w:p>
        </w:tc>
        <w:tc>
          <w:tcPr/>
          <w:p>
            <w:pPr>
              <w:pStyle w:val="Compact"/>
            </w:pPr>
            <w:r>
              <w:t xml:space="preserve">0.6614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DA-MFS</w:t>
            </w:r>
            <w:r>
              <w:t xml:space="preserve"> </w:t>
            </w:r>
            <w:r>
              <w:t xml:space="preserve">(aligned + 4 selected)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0.6065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Improvement over raw baseline: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+13.6 pp</w:t>
      </w:r>
      <w:r>
        <w:t xml:space="preserve">, balanced accuracy</w:t>
      </w:r>
      <w:r>
        <w:t xml:space="preserve"> </w:t>
      </w:r>
      <w:r>
        <w:rPr>
          <w:b/>
          <w:bCs/>
        </w:rPr>
        <w:t xml:space="preserve">+10.4 pp</w:t>
      </w:r>
      <w:r>
        <w:t xml:space="preserve">,</w:t>
      </w:r>
      <w:r>
        <w:t xml:space="preserve"> </w:t>
      </w:r>
      <w:r>
        <w:t xml:space="preserve">macro-F1</w:t>
      </w:r>
      <w:r>
        <w:t xml:space="preserve"> </w:t>
      </w:r>
      <w:r>
        <w:rPr>
          <w:b/>
          <w:bCs/>
        </w:rPr>
        <w:t xml:space="preserve">+15.3 pp</w:t>
      </w:r>
      <w:r>
        <w:t xml:space="preserve">, attack recall</w:t>
      </w:r>
      <w:r>
        <w:t xml:space="preserve"> </w:t>
      </w:r>
      <w:r>
        <w:rPr>
          <w:b/>
          <w:bCs/>
        </w:rPr>
        <w:t xml:space="preserve">+12.8 pp</w:t>
      </w:r>
      <w:r>
        <w:t xml:space="preserve">. Selected features:</w:t>
      </w:r>
      <w:r>
        <w:t xml:space="preserve"> </w:t>
      </w:r>
      <w:r>
        <w:rPr>
          <w:rStyle w:val="VerbatimChar"/>
        </w:rPr>
        <w:t xml:space="preserve">duration, src_pkts, total_bytes, total_bytes_per_pkt</w:t>
      </w:r>
      <w:r>
        <w:t xml:space="preserve">.</w:t>
      </w:r>
    </w:p>
    <w:bookmarkEnd w:id="23"/>
    <w:bookmarkStart w:id="24" w:name="X546f11242b24ca3c895bcb2b8a1f462f7de3b03"/>
    <w:p>
      <w:pPr>
        <w:pStyle w:val="Heading2"/>
      </w:pPr>
      <w:r>
        <w:t xml:space="preserve">Quick facts (measured from the downloaded data)</w:t>
      </w:r>
    </w:p>
    <w:p>
      <w:pPr>
        <w:pStyle w:val="Compact"/>
        <w:numPr>
          <w:ilvl w:val="0"/>
          <w:numId w:val="1002"/>
        </w:numPr>
      </w:pPr>
      <w:r>
        <w:t xml:space="preserve">CIC-IDS-2017: 2,830,743 flows, 77 unique features, 80.3% benign, 1,358 NaN + 4,376 Inf cells.</w:t>
      </w:r>
    </w:p>
    <w:p>
      <w:pPr>
        <w:pStyle w:val="Compact"/>
        <w:numPr>
          <w:ilvl w:val="0"/>
          <w:numId w:val="1002"/>
        </w:numPr>
      </w:pPr>
      <w:r>
        <w:t xml:space="preserve">UNSW-NB15: 257,673 records, 42 features, 9 attack classes + Normal.</w:t>
      </w:r>
    </w:p>
    <w:p>
      <w:pPr>
        <w:pStyle w:val="Compact"/>
        <w:numPr>
          <w:ilvl w:val="0"/>
          <w:numId w:val="1002"/>
        </w:numPr>
      </w:pPr>
      <w:r>
        <w:t xml:space="preserve">TON_IoT: 211,043 records, 42 features, 10 attack classes (near-balanced).</w:t>
      </w:r>
    </w:p>
    <w:p>
      <w:pPr>
        <w:pStyle w:val="Compact"/>
        <w:numPr>
          <w:ilvl w:val="0"/>
          <w:numId w:val="1002"/>
        </w:numPr>
      </w:pPr>
      <w:r>
        <w:t xml:space="preserve">The three datasets share</w:t>
      </w:r>
      <w:r>
        <w:t xml:space="preserve"> </w:t>
      </w:r>
      <w:r>
        <w:rPr>
          <w:b/>
          <w:bCs/>
        </w:rPr>
        <w:t xml:space="preserve">no common column names</w:t>
      </w:r>
      <w:r>
        <w:t xml:space="preserve">; only ~6 raw features are semantically alignable.</w:t>
      </w:r>
    </w:p>
    <w:bookmarkEnd w:id="24"/>
    <w:bookmarkStart w:id="25" w:name="how-to-read-this-for-the-review"/>
    <w:p>
      <w:pPr>
        <w:pStyle w:val="Heading2"/>
      </w:pPr>
      <w:r>
        <w:t xml:space="preserve">How to read this for the review</w:t>
      </w:r>
    </w:p>
    <w:p>
      <w:pPr>
        <w:pStyle w:val="Compact"/>
        <w:numPr>
          <w:ilvl w:val="0"/>
          <w:numId w:val="1003"/>
        </w:numPr>
      </w:pPr>
      <w:r>
        <w:t xml:space="preserve">Start with</w:t>
      </w:r>
      <w:r>
        <w:t xml:space="preserve"> </w:t>
      </w:r>
      <w:r>
        <w:rPr>
          <w:b/>
          <w:bCs/>
        </w:rPr>
        <w:t xml:space="preserve">07</w:t>
      </w:r>
      <w:r>
        <w:t xml:space="preserve"> </w:t>
      </w:r>
      <w:r>
        <w:t xml:space="preserve">(plain-language overview), then</w:t>
      </w:r>
      <w:r>
        <w:t xml:space="preserve"> </w:t>
      </w:r>
      <w:r>
        <w:rPr>
          <w:b/>
          <w:bCs/>
        </w:rPr>
        <w:t xml:space="preserve">05</w:t>
      </w:r>
      <w:r>
        <w:t xml:space="preserve"> </w:t>
      </w:r>
      <w:r>
        <w:t xml:space="preserve">(the report).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08</w:t>
      </w:r>
      <w:r>
        <w:t xml:space="preserve"> </w:t>
      </w:r>
      <w:r>
        <w:t xml:space="preserve">for answering questions.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01</w:t>
      </w:r>
      <w:r>
        <w:t xml:space="preserve">–</w:t>
      </w:r>
      <w:r>
        <w:rPr>
          <w:b/>
          <w:bCs/>
        </w:rPr>
        <w:t xml:space="preserve">04</w:t>
      </w:r>
      <w:r>
        <w:t xml:space="preserve"> </w:t>
      </w:r>
      <w:r>
        <w:t xml:space="preserve">for the detailed analysis behind the report.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01_dataset_report.md" TargetMode="External" /><Relationship Type="http://schemas.openxmlformats.org/officeDocument/2006/relationships/hyperlink" Id="rId16" Target="02_literature_review.md" TargetMode="External" /><Relationship Type="http://schemas.openxmlformats.org/officeDocument/2006/relationships/hyperlink" Id="rId17" Target="03_objectives_and_gaps.md" TargetMode="External" /><Relationship Type="http://schemas.openxmlformats.org/officeDocument/2006/relationships/hyperlink" Id="rId18" Target="04_methodology_and_plan.md" TargetMode="External" /><Relationship Type="http://schemas.openxmlformats.org/officeDocument/2006/relationships/hyperlink" Id="rId9" Target="05_midsem_report.md" TargetMode="External" /><Relationship Type="http://schemas.openxmlformats.org/officeDocument/2006/relationships/hyperlink" Id="rId10" Target="06_presentation.md" TargetMode="External" /><Relationship Type="http://schemas.openxmlformats.org/officeDocument/2006/relationships/hyperlink" Id="rId12" Target="07_what_we_are_doing.md" TargetMode="External" /><Relationship Type="http://schemas.openxmlformats.org/officeDocument/2006/relationships/hyperlink" Id="rId13" Target="08_viva_qa_pre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01_dataset_report.md" TargetMode="External" /><Relationship Type="http://schemas.openxmlformats.org/officeDocument/2006/relationships/hyperlink" Id="rId16" Target="02_literature_review.md" TargetMode="External" /><Relationship Type="http://schemas.openxmlformats.org/officeDocument/2006/relationships/hyperlink" Id="rId17" Target="03_objectives_and_gaps.md" TargetMode="External" /><Relationship Type="http://schemas.openxmlformats.org/officeDocument/2006/relationships/hyperlink" Id="rId18" Target="04_methodology_and_plan.md" TargetMode="External" /><Relationship Type="http://schemas.openxmlformats.org/officeDocument/2006/relationships/hyperlink" Id="rId9" Target="05_midsem_report.md" TargetMode="External" /><Relationship Type="http://schemas.openxmlformats.org/officeDocument/2006/relationships/hyperlink" Id="rId10" Target="06_presentation.md" TargetMode="External" /><Relationship Type="http://schemas.openxmlformats.org/officeDocument/2006/relationships/hyperlink" Id="rId12" Target="07_what_we_are_doing.md" TargetMode="External" /><Relationship Type="http://schemas.openxmlformats.org/officeDocument/2006/relationships/hyperlink" Id="rId13" Target="08_viva_qa_pre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2026-09-28T11:18:13Z</dcterms:created>
  <dcterms:modified xsi:type="dcterms:W3CDTF">2026-09-28T11:18:13Z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