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5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4dc8e93b67c65ff1446101b86ba88d1b4dca06a"/>
    <w:p>
      <w:pPr>
        <w:pStyle w:val="Heading1"/>
      </w:pPr>
      <w:r>
        <w:t xml:space="preserve">Dataset Report — Understanding the Three Benchmark Network-Intrusion Datasets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Evaluating and Improving Cross-Dataset Generalization of ML-Based Intrusion Detection Systems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01 — Dataset Analysis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Prepared for mid-semester review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documents a first-hand analysis of the three benchmark network-traffic datasets</w:t>
      </w:r>
      <w:r>
        <w:t xml:space="preserve"> </w:t>
      </w:r>
      <w:r>
        <w:t xml:space="preserve">selected for this project:</w:t>
      </w:r>
      <w:r>
        <w:t xml:space="preserve"> </w:t>
      </w:r>
      <w:r>
        <w:rPr>
          <w:b/>
          <w:bCs/>
        </w:rPr>
        <w:t xml:space="preserve">CIC-IDS-2017</w:t>
      </w:r>
      <w:r>
        <w:t xml:space="preserve">,</w:t>
      </w:r>
      <w:r>
        <w:t xml:space="preserve"> </w:t>
      </w:r>
      <w:r>
        <w:rPr>
          <w:b/>
          <w:bCs/>
        </w:rPr>
        <w:t xml:space="preserve">UNSW-NB15</w:t>
      </w:r>
      <w:r>
        <w:t xml:space="preserve">, and</w:t>
      </w:r>
      <w:r>
        <w:t xml:space="preserve"> </w:t>
      </w:r>
      <w:r>
        <w:rPr>
          <w:b/>
          <w:bCs/>
        </w:rPr>
        <w:t xml:space="preserve">TON_IoT</w:t>
      </w:r>
      <w:r>
        <w:t xml:space="preserve">. The analysis was</w:t>
      </w:r>
      <w:r>
        <w:t xml:space="preserve"> </w:t>
      </w:r>
      <w:r>
        <w:t xml:space="preserve">performed directly on the downloaded CSV files (statistics recomputed by the authors, not</w:t>
      </w:r>
      <w:r>
        <w:t xml:space="preserve"> </w:t>
      </w:r>
      <w:r>
        <w:t xml:space="preserve">quoted from the literature), and it reveals the single most important structural fact of the</w:t>
      </w:r>
      <w:r>
        <w:t xml:space="preserve"> </w:t>
      </w:r>
      <w:r>
        <w:t xml:space="preserve">project:</w:t>
      </w:r>
    </w:p>
    <w:p>
      <w:pPr>
        <w:pStyle w:val="BlockText"/>
      </w:pPr>
      <w:r>
        <w:t xml:space="preserve">The three datasets were produced by</w:t>
      </w:r>
      <w:r>
        <w:t xml:space="preserve"> </w:t>
      </w:r>
      <w:r>
        <w:rPr>
          <w:b/>
          <w:bCs/>
        </w:rPr>
        <w:t xml:space="preserve">different collection tools and represent almost</w:t>
      </w:r>
      <w:r>
        <w:rPr>
          <w:b/>
          <w:bCs/>
        </w:rPr>
        <w:t xml:space="preserve"> </w:t>
      </w:r>
      <w:r>
        <w:rPr>
          <w:b/>
          <w:bCs/>
        </w:rPr>
        <w:t xml:space="preserve">disjoint feature spaces</w:t>
      </w:r>
      <w:r>
        <w:t xml:space="preserve">. CIC-IDS-2017 exposes 78 CICFlowMeter flow statistics,</w:t>
      </w:r>
      <w:r>
        <w:t xml:space="preserve"> </w:t>
      </w:r>
      <w:r>
        <w:t xml:space="preserve">UNSW-NB15 exposes 42 Argus/Bro hybrid counters, and TON_IoT exposes 42 raw Zeek (Bro)</w:t>
      </w:r>
      <w:r>
        <w:t xml:space="preserve"> </w:t>
      </w:r>
      <w:r>
        <w:t xml:space="preserve">log fields. Only a small handful of features are semantically equivalent across all three.</w:t>
      </w:r>
      <w:r>
        <w:t xml:space="preserve"> </w:t>
      </w:r>
      <w:r>
        <w:t xml:space="preserve">Any</w:t>
      </w:r>
      <w:r>
        <w:t xml:space="preserve"> </w:t>
      </w:r>
      <w:r>
        <w:t xml:space="preserve">“cross-dataset”</w:t>
      </w:r>
      <w:r>
        <w:t xml:space="preserve"> </w:t>
      </w:r>
      <w:r>
        <w:t xml:space="preserve">experiment must therefore either (a) restrict itself to a small shared</w:t>
      </w:r>
      <w:r>
        <w:t xml:space="preserve"> </w:t>
      </w:r>
      <w:r>
        <w:t xml:space="preserve">feature subspace, or (b) build dataset-specific models that cannot be directly transferred.</w:t>
      </w:r>
    </w:p>
    <w:p>
      <w:pPr>
        <w:pStyle w:val="FirstParagraph"/>
      </w:pPr>
      <w:r>
        <w:t xml:space="preserve">This feature-schema mismatch is not an obstacle to be worked around — it is the central</w:t>
      </w:r>
      <w:r>
        <w:t xml:space="preserve"> </w:t>
      </w:r>
      <w:r>
        <w:t xml:space="preserve">phenomenon the project studies, because it is precisely what a real, deployable Intrusion</w:t>
      </w:r>
      <w:r>
        <w:t xml:space="preserve"> </w:t>
      </w:r>
      <w:r>
        <w:t xml:space="preserve">Detection System (IDS) faces when it encounters a network it has never seen before.</w:t>
      </w:r>
    </w:p>
    <w:p>
      <w:pPr>
        <w:pStyle w:val="BodyText"/>
      </w:pPr>
      <w:r>
        <w:t xml:space="preserve">All figures referenced in this document are stored under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datasets-at-a-glance"/>
    <w:p>
      <w:pPr>
        <w:pStyle w:val="Heading2"/>
      </w:pPr>
      <w:r>
        <w:t xml:space="preserve">2. Datasets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 (network)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Canadian Institute for Cybersecurity (CIC), Univ. of New Brunswick</w:t>
            </w:r>
          </w:p>
        </w:tc>
        <w:tc>
          <w:tcPr/>
          <w:p>
            <w:pPr>
              <w:pStyle w:val="Compact"/>
            </w:pPr>
            <w:r>
              <w:t xml:space="preserve">Australian Centre for Cyber Security (ACCS), UNSW Canberra</w:t>
            </w:r>
          </w:p>
        </w:tc>
        <w:tc>
          <w:tcPr/>
          <w:p>
            <w:pPr>
              <w:pStyle w:val="Compact"/>
            </w:pPr>
            <w:r>
              <w:t xml:space="preserve">UNSW Canberra / Moustafa et 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2019–2020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tool</w:t>
            </w:r>
          </w:p>
        </w:tc>
        <w:tc>
          <w:tcPr/>
          <w:p>
            <w:pPr>
              <w:pStyle w:val="Compact"/>
            </w:pPr>
            <w:r>
              <w:t xml:space="preserve">CICFlowMeter (flow exporter)</w:t>
            </w:r>
          </w:p>
        </w:tc>
        <w:tc>
          <w:tcPr/>
          <w:p>
            <w:pPr>
              <w:pStyle w:val="Compact"/>
            </w:pPr>
            <w:r>
              <w:t xml:space="preserve">Argus + Bro-IDS hybrid</w:t>
            </w:r>
          </w:p>
        </w:tc>
        <w:tc>
          <w:tcPr/>
          <w:p>
            <w:pPr>
              <w:pStyle w:val="Compact"/>
            </w:pPr>
            <w:r>
              <w:t xml:space="preserve">Zeek (Bro-IDS) connection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type</w:t>
            </w:r>
          </w:p>
        </w:tc>
        <w:tc>
          <w:tcPr/>
          <w:p>
            <w:pPr>
              <w:pStyle w:val="Compact"/>
            </w:pPr>
            <w:r>
              <w:t xml:space="preserve">Enterprise/office LAN</w:t>
            </w:r>
          </w:p>
        </w:tc>
        <w:tc>
          <w:tcPr/>
          <w:p>
            <w:pPr>
              <w:pStyle w:val="Compact"/>
            </w:pPr>
            <w:r>
              <w:t xml:space="preserve">Emulated enterprise (IXIA PerfectStorm)</w:t>
            </w:r>
          </w:p>
        </w:tc>
        <w:tc>
          <w:tcPr/>
          <w:p>
            <w:pPr>
              <w:pStyle w:val="Compact"/>
            </w:pPr>
            <w:r>
              <w:t xml:space="preserve">IoT / IIoT testbed (edge–fog–cloud)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records (this copy)</w:t>
            </w:r>
          </w:p>
        </w:tc>
        <w:tc>
          <w:tcPr/>
          <w:p>
            <w:pPr>
              <w:pStyle w:val="Compact"/>
            </w:pPr>
            <w:r>
              <w:t xml:space="preserve">2,830,743</w:t>
            </w:r>
          </w:p>
        </w:tc>
        <w:tc>
          <w:tcPr/>
          <w:p>
            <w:pPr>
              <w:pStyle w:val="Compact"/>
            </w:pPr>
            <w:r>
              <w:t xml:space="preserve">257,673 (train 175,341 + test 82,332)</w:t>
            </w:r>
          </w:p>
        </w:tc>
        <w:tc>
          <w:tcPr/>
          <w:p>
            <w:pPr>
              <w:pStyle w:val="Compact"/>
            </w:pPr>
            <w:r>
              <w:t xml:space="preserve">211,043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columns</w:t>
            </w:r>
          </w:p>
        </w:tc>
        <w:tc>
          <w:tcPr/>
          <w:p>
            <w:pPr>
              <w:pStyle w:val="Compact"/>
            </w:pPr>
            <w:r>
              <w:t xml:space="preserve">78 (one duplicated → 77 unique)</w:t>
            </w:r>
          </w:p>
        </w:tc>
        <w:tc>
          <w:tcPr/>
          <w:p>
            <w:pPr>
              <w:pStyle w:val="Compact"/>
            </w:pPr>
            <w:r>
              <w:t xml:space="preserve">42 (+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attack_cat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42 (+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(per-attack 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attack_cat</w:t>
            </w:r>
            <w:r>
              <w:t xml:space="preserve"> </w:t>
            </w:r>
            <w:r>
              <w:t xml:space="preserve">(9 classes + Normal) + binary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(10 classes) + binary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/ infinite values</w:t>
            </w:r>
          </w:p>
        </w:tc>
        <w:tc>
          <w:tcPr/>
          <w:p>
            <w:pPr>
              <w:pStyle w:val="Compact"/>
            </w:pPr>
            <w:r>
              <w:t xml:space="preserve">1,358 NaN + 4,376 Inf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structural traits</w:t>
            </w:r>
          </w:p>
        </w:tc>
        <w:tc>
          <w:tcPr/>
          <w:p>
            <w:pPr>
              <w:pStyle w:val="Compact"/>
            </w:pPr>
            <w:r>
              <w:t xml:space="preserve">Extreme class imbalance; identity features (ports)</w:t>
            </w:r>
          </w:p>
        </w:tc>
        <w:tc>
          <w:tcPr/>
          <w:p>
            <w:pPr>
              <w:pStyle w:val="Compact"/>
            </w:pPr>
            <w:r>
              <w:t xml:space="preserve">Partly de-identified (IPs/ports already removed)</w:t>
            </w:r>
          </w:p>
        </w:tc>
        <w:tc>
          <w:tcPr/>
          <w:p>
            <w:pPr>
              <w:pStyle w:val="Compact"/>
            </w:pPr>
            <w:r>
              <w:t xml:space="preserve">Heavy categoricals (</w:t>
            </w:r>
            <w:r>
              <w:rPr>
                <w:rStyle w:val="VerbatimChar"/>
              </w:rPr>
              <w:t xml:space="preserve">conn_state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ssl_*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cic-ids-2017"/>
    <w:p>
      <w:pPr>
        <w:pStyle w:val="Heading2"/>
      </w:pPr>
      <w:r>
        <w:t xml:space="preserve">3. CIC-IDS-2017</w:t>
      </w:r>
    </w:p>
    <w:bookmarkStart w:id="11" w:name="provenance-and-collection-methodology"/>
    <w:p>
      <w:pPr>
        <w:pStyle w:val="Heading3"/>
      </w:pPr>
      <w:r>
        <w:t xml:space="preserve">3.1 Provenance and collection methodology</w:t>
      </w:r>
    </w:p>
    <w:p>
      <w:pPr>
        <w:pStyle w:val="FirstParagraph"/>
      </w:pPr>
      <w:r>
        <w:t xml:space="preserve">CIC-IDS-2017 [1] is the most widely used intrusion-detection benchmark. It was captured at</w:t>
      </w:r>
      <w:r>
        <w:t xml:space="preserve"> </w:t>
      </w:r>
      <w:r>
        <w:t xml:space="preserve">the Canadian Institute for Cybersecurity over five working days (Monday–Friday, July 2017)</w:t>
      </w:r>
      <w:r>
        <w:t xml:space="preserve"> </w:t>
      </w:r>
      <w:r>
        <w:t xml:space="preserve">on a realistic testbed that emulated a small enterprise network: victim machines, a firewall,</w:t>
      </w:r>
      <w:r>
        <w:t xml:space="preserve"> </w:t>
      </w:r>
      <w:r>
        <w:t xml:space="preserve">and an attacker network. Realistic background (benign) traffic was generated with a</w:t>
      </w:r>
      <w:r>
        <w:t xml:space="preserve"> </w:t>
      </w:r>
      <w:r>
        <w:t xml:space="preserve">behavioural profiling tool (B-Profile), while attacks were executed on specific days. Flows</w:t>
      </w:r>
      <w:r>
        <w:t xml:space="preserve"> </w:t>
      </w:r>
      <w:r>
        <w:t xml:space="preserve">were extracted with</w:t>
      </w:r>
      <w:r>
        <w:t xml:space="preserve"> </w:t>
      </w:r>
      <w:r>
        <w:rPr>
          <w:b/>
          <w:bCs/>
        </w:rPr>
        <w:t xml:space="preserve">CICFlowMeter</w:t>
      </w:r>
      <w:r>
        <w:t xml:space="preserve">, which computes 78+ statistical features per</w:t>
      </w:r>
      <w:r>
        <w:t xml:space="preserve"> </w:t>
      </w:r>
      <w:r>
        <w:t xml:space="preserve">bidirectional flow (packet-length statistics, inter-arrival times, TCP flag counts, bulk and</w:t>
      </w:r>
      <w:r>
        <w:t xml:space="preserve"> </w:t>
      </w:r>
      <w:r>
        <w:t xml:space="preserve">sub-flow statistics, and active/idle timing).</w:t>
      </w:r>
    </w:p>
    <w:p>
      <w:pPr>
        <w:pStyle w:val="BodyText"/>
      </w:pPr>
      <w:r>
        <w:t xml:space="preserve">The dataset ships as eight per-day CSV files under</w:t>
      </w:r>
      <w:r>
        <w:t xml:space="preserve"> </w:t>
      </w:r>
      <w:r>
        <w:rPr>
          <w:rStyle w:val="VerbatimChar"/>
        </w:rPr>
        <w:t xml:space="preserve">datasets/CIC-IDS-2017/MachineLearningCVE/</w:t>
      </w:r>
      <w:r>
        <w:t xml:space="preserve">.</w:t>
      </w:r>
    </w:p>
    <w:bookmarkEnd w:id="11"/>
    <w:bookmarkStart w:id="15" w:name="file-by-file-composition-measured"/>
    <w:p>
      <w:pPr>
        <w:pStyle w:val="Heading3"/>
      </w:pPr>
      <w:r>
        <w:t xml:space="preserve">3.2 File-by-file composition (measured)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Attack labels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Monday-WorkingHours</w:t>
            </w:r>
          </w:p>
        </w:tc>
        <w:tc>
          <w:tcPr/>
          <w:p>
            <w:pPr>
              <w:pStyle w:val="Compact"/>
            </w:pPr>
            <w:r>
              <w:t xml:space="preserve">529,918</w:t>
            </w:r>
          </w:p>
        </w:tc>
        <w:tc>
          <w:tcPr/>
          <w:p>
            <w:pPr>
              <w:pStyle w:val="Compact"/>
            </w:pPr>
            <w:r>
              <w:t xml:space="preserve">BENIGN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Tuesday-WorkingHours</w:t>
            </w:r>
          </w:p>
        </w:tc>
        <w:tc>
          <w:tcPr/>
          <w:p>
            <w:pPr>
              <w:pStyle w:val="Compact"/>
            </w:pPr>
            <w:r>
              <w:t xml:space="preserve">445,909</w:t>
            </w:r>
          </w:p>
        </w:tc>
        <w:tc>
          <w:tcPr/>
          <w:p>
            <w:pPr>
              <w:pStyle w:val="Compact"/>
            </w:pPr>
            <w:r>
              <w:t xml:space="preserve">BENIGN, FTP-Patator, SSH-Patator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Wednesday-workingHours</w:t>
            </w:r>
          </w:p>
        </w:tc>
        <w:tc>
          <w:tcPr/>
          <w:p>
            <w:pPr>
              <w:pStyle w:val="Compact"/>
            </w:pPr>
            <w:r>
              <w:t xml:space="preserve">692,703</w:t>
            </w:r>
          </w:p>
        </w:tc>
        <w:tc>
          <w:tcPr/>
          <w:p>
            <w:pPr>
              <w:pStyle w:val="Compact"/>
            </w:pPr>
            <w:r>
              <w:t xml:space="preserve">BENIGN, DoS Hulk/GoldenEye/slowloris/Slowhttptest, Heartbleed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Thursday-WorkingHours-Morning-WebAttacks</w:t>
            </w:r>
          </w:p>
        </w:tc>
        <w:tc>
          <w:tcPr/>
          <w:p>
            <w:pPr>
              <w:pStyle w:val="Compact"/>
            </w:pPr>
            <w:r>
              <w:t xml:space="preserve">170,366</w:t>
            </w:r>
          </w:p>
        </w:tc>
        <w:tc>
          <w:tcPr/>
          <w:p>
            <w:pPr>
              <w:pStyle w:val="Compact"/>
            </w:pPr>
            <w:r>
              <w:t xml:space="preserve">BENIGN, Web Attack – Brute Force/XSS/Sql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Thursday-WorkingHours-Afternoon-Infilteration</w:t>
            </w:r>
          </w:p>
        </w:tc>
        <w:tc>
          <w:tcPr/>
          <w:p>
            <w:pPr>
              <w:pStyle w:val="Compact"/>
            </w:pPr>
            <w:r>
              <w:t xml:space="preserve">288,602</w:t>
            </w:r>
          </w:p>
        </w:tc>
        <w:tc>
          <w:tcPr/>
          <w:p>
            <w:pPr>
              <w:pStyle w:val="Compact"/>
            </w:pPr>
            <w:r>
              <w:t xml:space="preserve">BENIGN, Infiltration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Friday-WorkingHours-Morning</w:t>
            </w:r>
          </w:p>
        </w:tc>
        <w:tc>
          <w:tcPr/>
          <w:p>
            <w:pPr>
              <w:pStyle w:val="Compact"/>
            </w:pPr>
            <w:r>
              <w:t xml:space="preserve">191,033</w:t>
            </w:r>
          </w:p>
        </w:tc>
        <w:tc>
          <w:tcPr/>
          <w:p>
            <w:pPr>
              <w:pStyle w:val="Compact"/>
            </w:pPr>
            <w:r>
              <w:t xml:space="preserve">BENIGN,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Friday-WorkingHours-Afternoon-DDos</w:t>
            </w:r>
          </w:p>
        </w:tc>
        <w:tc>
          <w:tcPr/>
          <w:p>
            <w:pPr>
              <w:pStyle w:val="Compact"/>
            </w:pPr>
            <w:r>
              <w:t xml:space="preserve">225,745</w:t>
            </w:r>
          </w:p>
        </w:tc>
        <w:tc>
          <w:tcPr/>
          <w:p>
            <w:pPr>
              <w:pStyle w:val="Compact"/>
            </w:pPr>
            <w:r>
              <w:t xml:space="preserve">BENIGN, DDoS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Friday-WorkingHours-Afternoon-PortScan</w:t>
            </w:r>
          </w:p>
        </w:tc>
        <w:tc>
          <w:tcPr/>
          <w:p>
            <w:pPr>
              <w:pStyle w:val="Compact"/>
            </w:pPr>
            <w:r>
              <w:t xml:space="preserve">286,467</w:t>
            </w:r>
          </w:p>
        </w:tc>
        <w:tc>
          <w:tcPr/>
          <w:p>
            <w:pPr>
              <w:pStyle w:val="Compact"/>
            </w:pPr>
            <w:r>
              <w:t xml:space="preserve">BENIGN, PortScan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label distribution (log scale):</w:t>
      </w:r>
    </w:p>
    <w:p>
      <w:pPr>
        <w:pStyle w:val="CaptionedFigure"/>
      </w:pPr>
      <w:r>
        <w:drawing>
          <wp:inline>
            <wp:extent cx="5334000" cy="4614292"/>
            <wp:effectExtent b="0" l="0" r="0" t="0"/>
            <wp:docPr descr="CIC-IDS-2017 class distribution" title="" id="13" name="Picture"/>
            <a:graphic>
              <a:graphicData uri="http://schemas.openxmlformats.org/drawingml/2006/picture">
                <pic:pic>
                  <pic:nvPicPr>
                    <pic:cNvPr descr="figures/fig_cicids_class_dis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CIC-IDS-2017 class distribution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BENIGN dominates</w:t>
      </w:r>
      <w:r>
        <w:t xml:space="preserve"> </w:t>
      </w:r>
      <w:r>
        <w:t xml:space="preserve">(2,273,097 of 2,830,743 ≈ 80.3%). Attacks total ≈ 557,646 (19.7%).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DoS Hulk is the single largest attack class</w:t>
      </w:r>
      <w:r>
        <w:t xml:space="preserve"> </w:t>
      </w:r>
      <w:r>
        <w:t xml:space="preserve">(231,073), followed by PortScan (158,930)</w:t>
      </w:r>
      <w:r>
        <w:t xml:space="preserve"> </w:t>
      </w:r>
      <w:r>
        <w:t xml:space="preserve">and DDoS (128,027).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Extreme minority classes:</w:t>
      </w:r>
      <w:r>
        <w:t xml:space="preserve"> </w:t>
      </w:r>
      <w:r>
        <w:t xml:space="preserve">Heartbleed (11) and Infiltration (36) are effectively</w:t>
      </w:r>
      <w:r>
        <w:t xml:space="preserve"> </w:t>
      </w:r>
      <w:r>
        <w:t xml:space="preserve">unlearnable in a per-dataset setting and would be</w:t>
      </w:r>
      <w:r>
        <w:t xml:space="preserve"> </w:t>
      </w:r>
      <w:r>
        <w:rPr>
          <w:i/>
          <w:iCs/>
        </w:rPr>
        <w:t xml:space="preserve">impossible</w:t>
      </w:r>
      <w:r>
        <w:t xml:space="preserve"> </w:t>
      </w:r>
      <w:r>
        <w:t xml:space="preserve">to transfer cross-dataset.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 encoding issue:</w:t>
      </w:r>
      <w:r>
        <w:t xml:space="preserve"> </w:t>
      </w:r>
      <w:r>
        <w:t xml:space="preserve">the Web-Attack labels contain a non-ASCII en-dash that reads as a</w:t>
      </w:r>
      <w:r>
        <w:t xml:space="preserve"> </w:t>
      </w:r>
      <w:r>
        <w:t xml:space="preserve">replacement character (</w:t>
      </w:r>
      <w:r>
        <w:rPr>
          <w:rStyle w:val="VerbatimChar"/>
        </w:rPr>
        <w:t xml:space="preserve">Web Attack � Brute Force</w:t>
      </w:r>
      <w:r>
        <w:t xml:space="preserve">) under default UTF-8 decoding. Labels must</w:t>
      </w:r>
      <w:r>
        <w:t xml:space="preserve"> </w:t>
      </w:r>
      <w:r>
        <w:t xml:space="preserve">be normalised before use.</w:t>
      </w:r>
    </w:p>
    <w:bookmarkEnd w:id="15"/>
    <w:bookmarkStart w:id="16" w:name="feature-schema"/>
    <w:p>
      <w:pPr>
        <w:pStyle w:val="Heading3"/>
      </w:pPr>
      <w:r>
        <w:t xml:space="preserve">3.3 Feature schema</w:t>
      </w:r>
    </w:p>
    <w:p>
      <w:pPr>
        <w:pStyle w:val="FirstParagraph"/>
      </w:pPr>
      <w:r>
        <w:t xml:space="preserve">The header contains</w:t>
      </w:r>
      <w:r>
        <w:t xml:space="preserve"> </w:t>
      </w:r>
      <w:r>
        <w:rPr>
          <w:b/>
          <w:bCs/>
        </w:rPr>
        <w:t xml:space="preserve">79 columns</w:t>
      </w:r>
      <w:r>
        <w:t xml:space="preserve">: 78 numeric feature columns plus 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column. One</w:t>
      </w:r>
      <w:r>
        <w:t xml:space="preserve"> </w:t>
      </w:r>
      <w:r>
        <w:t xml:space="preserve">feature —</w:t>
      </w:r>
      <w:r>
        <w:t xml:space="preserve"> </w:t>
      </w:r>
      <w:r>
        <w:rPr>
          <w:rStyle w:val="VerbatimChar"/>
        </w:rPr>
        <w:t xml:space="preserve">Fwd Header Length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duplicated</w:t>
      </w:r>
      <w:r>
        <w:t xml:space="preserve"> </w:t>
      </w:r>
      <w:r>
        <w:t xml:space="preserve">(appears twice; pandas renames the second</w:t>
      </w:r>
      <w:r>
        <w:t xml:space="preserve"> </w:t>
      </w:r>
      <w:r>
        <w:t xml:space="preserve">occurrence to</w:t>
      </w:r>
      <w:r>
        <w:t xml:space="preserve"> </w:t>
      </w:r>
      <w:r>
        <w:rPr>
          <w:rStyle w:val="VerbatimChar"/>
        </w:rPr>
        <w:t xml:space="preserve">Fwd Header Length.1</w:t>
      </w:r>
      <w:r>
        <w:t xml:space="preserve">), so there are</w:t>
      </w:r>
      <w:r>
        <w:t xml:space="preserve"> </w:t>
      </w:r>
      <w:r>
        <w:rPr>
          <w:b/>
          <w:bCs/>
        </w:rPr>
        <w:t xml:space="preserve">77 unique features</w:t>
      </w:r>
      <w:r>
        <w:t xml:space="preserve">. Notable schema</w:t>
      </w:r>
      <w:r>
        <w:t xml:space="preserve"> </w:t>
      </w:r>
      <w:r>
        <w:t xml:space="preserve">characteristics:</w:t>
      </w:r>
    </w:p>
    <w:p>
      <w:pPr>
        <w:pStyle w:val="Compact"/>
        <w:numPr>
          <w:ilvl w:val="0"/>
          <w:numId w:val="1002"/>
        </w:numPr>
      </w:pPr>
      <w:r>
        <w:t xml:space="preserve">Features are</w:t>
      </w:r>
      <w:r>
        <w:t xml:space="preserve"> </w:t>
      </w:r>
      <w:r>
        <w:rPr>
          <w:b/>
          <w:bCs/>
        </w:rPr>
        <w:t xml:space="preserve">numeric flow statistics</w:t>
      </w:r>
      <w:r>
        <w:t xml:space="preserve"> </w:t>
      </w:r>
      <w:r>
        <w:t xml:space="preserve">(no categorical protocol/service columns).</w:t>
      </w:r>
    </w:p>
    <w:p>
      <w:pPr>
        <w:pStyle w:val="Compact"/>
        <w:numPr>
          <w:ilvl w:val="0"/>
          <w:numId w:val="1002"/>
        </w:numPr>
      </w:pPr>
      <w:r>
        <w:t xml:space="preserve">The only categorical column is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first column</w:t>
      </w:r>
      <w:r>
        <w:t xml:space="preserve"> </w:t>
      </w:r>
      <w:r>
        <w:rPr>
          <w:rStyle w:val="VerbatimChar"/>
        </w:rPr>
        <w:t xml:space="preserve">Destination Port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de-facto identity feature</w:t>
      </w:r>
      <w:r>
        <w:t xml:space="preserve"> </w:t>
      </w:r>
      <w:r>
        <w:t xml:space="preserve">(see §6): it encodes</w:t>
      </w:r>
      <w:r>
        <w:t xml:space="preserve"> </w:t>
      </w:r>
      <w:r>
        <w:t xml:space="preserve">the attack scenario rather than traffic behaviour and is a known source of inflated</w:t>
      </w:r>
      <w:r>
        <w:t xml:space="preserve"> </w:t>
      </w:r>
      <w:r>
        <w:t xml:space="preserve">same-dataset accuracy [4], [22].</w:t>
      </w:r>
    </w:p>
    <w:bookmarkEnd w:id="16"/>
    <w:bookmarkStart w:id="17" w:name="data-quality-issues-measured"/>
    <w:p>
      <w:pPr>
        <w:pStyle w:val="Heading3"/>
      </w:pPr>
      <w:r>
        <w:t xml:space="preserve">3.4 Data-quality issues (measured)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Infinite values:</w:t>
      </w:r>
      <w:r>
        <w:t xml:space="preserve"> </w:t>
      </w:r>
      <w:r>
        <w:t xml:space="preserve">4,376 cells equal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, concentrated in</w:t>
      </w:r>
      <w:r>
        <w:t xml:space="preserve"> </w:t>
      </w:r>
      <w:r>
        <w:rPr>
          <w:rStyle w:val="VerbatimChar"/>
        </w:rPr>
        <w:t xml:space="preserve">Flow Bytes/s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Flow Packets/s</w:t>
      </w:r>
      <w:r>
        <w:t xml:space="preserve"> </w:t>
      </w:r>
      <w:r>
        <w:t xml:space="preserve">(a division-by-zero artefact when a flow has zero packets). These must be</w:t>
      </w:r>
      <w:r>
        <w:t xml:space="preserve"> </w:t>
      </w:r>
      <w:r>
        <w:t xml:space="preserve">replaced (e.g. 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/median/zero) before training tree models that reject infinities.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 values:</w:t>
      </w:r>
      <w:r>
        <w:t xml:space="preserve"> </w:t>
      </w:r>
      <w:r>
        <w:t xml:space="preserve">1,358 cells are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(same columns, plus a few scattered others).</w:t>
      </w:r>
    </w:p>
    <w:p>
      <w:pPr>
        <w:pStyle w:val="Compact"/>
        <w:numPr>
          <w:ilvl w:val="0"/>
          <w:numId w:val="1003"/>
        </w:numPr>
      </w:pPr>
      <w:r>
        <w:t xml:space="preserve">Combined, non-finite values are a tiny fraction of the ~221 million feature cells</w:t>
      </w:r>
      <w:r>
        <w:t xml:space="preserve"> </w:t>
      </w:r>
      <w:r>
        <w:t xml:space="preserve">(~0.0026%), but they are exactly the rows/columns a robust pipeline must handle.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Imbalance</w:t>
      </w:r>
      <w:r>
        <w:t xml:space="preserve"> </w:t>
      </w:r>
      <w:r>
        <w:t xml:space="preserve">(see §3.2) means per-class metrics (not overall accuracy) are mandatory.</w:t>
      </w:r>
    </w:p>
    <w:bookmarkEnd w:id="17"/>
    <w:bookmarkStart w:id="18" w:name="implications"/>
    <w:p>
      <w:pPr>
        <w:pStyle w:val="Heading3"/>
      </w:pPr>
      <w:r>
        <w:t xml:space="preserve">3.5 Implications</w:t>
      </w:r>
    </w:p>
    <w:p>
      <w:pPr>
        <w:pStyle w:val="FirstParagraph"/>
      </w:pPr>
      <w:r>
        <w:t xml:space="preserve">CIC-IDS-2017 provides rich flow statistics, but (i) its port/identity features, (ii) its</w:t>
      </w:r>
      <w:r>
        <w:t xml:space="preserve"> </w:t>
      </w:r>
      <w:r>
        <w:t xml:space="preserve">extreme imbalance, and (iii) its non-finite values make it the dataset most prone to giving a</w:t>
      </w:r>
      <w:r>
        <w:t xml:space="preserve"> </w:t>
      </w:r>
      <w:r>
        <w:rPr>
          <w:i/>
          <w:iCs/>
        </w:rPr>
        <w:t xml:space="preserve">falsely high</w:t>
      </w:r>
      <w:r>
        <w:t xml:space="preserve"> </w:t>
      </w:r>
      <w:r>
        <w:t xml:space="preserve">same-dataset score that fails to transfer. This is exactly the behaviour</w:t>
      </w:r>
      <w:r>
        <w:t xml:space="preserve"> </w:t>
      </w:r>
      <w:r>
        <w:t xml:space="preserve">documented in [4].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unsw-nb15"/>
    <w:p>
      <w:pPr>
        <w:pStyle w:val="Heading2"/>
      </w:pPr>
      <w:r>
        <w:t xml:space="preserve">4. UNSW-NB15</w:t>
      </w:r>
    </w:p>
    <w:bookmarkStart w:id="20" w:name="provenance-and-collection-methodology-1"/>
    <w:p>
      <w:pPr>
        <w:pStyle w:val="Heading3"/>
      </w:pPr>
      <w:r>
        <w:t xml:space="preserve">4.1 Provenance and collection methodology</w:t>
      </w:r>
    </w:p>
    <w:p>
      <w:pPr>
        <w:pStyle w:val="FirstParagraph"/>
      </w:pPr>
      <w:r>
        <w:t xml:space="preserve">UNSW-NB15 [2] was produced at the ACCS (UNSW Canberra) in 2015 using the</w:t>
      </w:r>
      <w:r>
        <w:t xml:space="preserve"> </w:t>
      </w:r>
      <w:r>
        <w:rPr>
          <w:b/>
          <w:bCs/>
        </w:rPr>
        <w:t xml:space="preserve">IXIA</w:t>
      </w:r>
      <w:r>
        <w:rPr>
          <w:b/>
          <w:bCs/>
        </w:rPr>
        <w:t xml:space="preserve"> </w:t>
      </w:r>
      <w:r>
        <w:rPr>
          <w:b/>
          <w:bCs/>
        </w:rPr>
        <w:t xml:space="preserve">PerfectStorm</w:t>
      </w:r>
      <w:r>
        <w:t xml:space="preserve"> </w:t>
      </w:r>
      <w:r>
        <w:t xml:space="preserve">traffic generator to emulate nine modern attack families (Fuzzers, Analysis,</w:t>
      </w:r>
      <w:r>
        <w:t xml:space="preserve"> </w:t>
      </w:r>
      <w:r>
        <w:t xml:space="preserve">Backdoors, DoS, Exploits, Generic, Reconnaissance, Shellcode, Worms) alongside realistic</w:t>
      </w:r>
      <w:r>
        <w:t xml:space="preserve"> </w:t>
      </w:r>
      <w:r>
        <w:t xml:space="preserve">background traffic. Features were extracted with the</w:t>
      </w:r>
      <w:r>
        <w:t xml:space="preserve"> </w:t>
      </w:r>
      <w:r>
        <w:rPr>
          <w:b/>
          <w:bCs/>
        </w:rPr>
        <w:t xml:space="preserve">Argus</w:t>
      </w:r>
      <w:r>
        <w:t xml:space="preserve"> </w:t>
      </w:r>
      <w:r>
        <w:t xml:space="preserve">tool augmented by</w:t>
      </w:r>
      <w:r>
        <w:t xml:space="preserve"> </w:t>
      </w:r>
      <w:r>
        <w:rPr>
          <w:b/>
          <w:bCs/>
        </w:rPr>
        <w:t xml:space="preserve">Bro-IDS</w:t>
      </w:r>
      <w:r>
        <w:t xml:space="preserve"> </w:t>
      </w:r>
      <w:r>
        <w:t xml:space="preserve">scripts, yielding a hybrid set of flow counters, connection-state counters, and</w:t>
      </w:r>
      <w:r>
        <w:t xml:space="preserve"> </w:t>
      </w:r>
      <w:r>
        <w:t xml:space="preserve">time-window-based connection-count features (</w:t>
      </w:r>
      <w:r>
        <w:rPr>
          <w:rStyle w:val="VerbatimChar"/>
        </w:rPr>
        <w:t xml:space="preserve">ct_*</w:t>
      </w:r>
      <w:r>
        <w:t xml:space="preserve">).</w:t>
      </w:r>
    </w:p>
    <w:p>
      <w:pPr>
        <w:pStyle w:val="BodyText"/>
      </w:pPr>
      <w:r>
        <w:t xml:space="preserve">This copy ships as</w:t>
      </w:r>
      <w:r>
        <w:t xml:space="preserve"> </w:t>
      </w:r>
      <w:r>
        <w:rPr>
          <w:rStyle w:val="VerbatimChar"/>
        </w:rPr>
        <w:t xml:space="preserve">UNSW_NB15_training-set.csv</w:t>
      </w:r>
      <w:r>
        <w:t xml:space="preserve"> </w:t>
      </w:r>
      <w:r>
        <w:t xml:space="preserve">(175,341 rows) and</w:t>
      </w:r>
      <w:r>
        <w:t xml:space="preserve"> </w:t>
      </w:r>
      <w:r>
        <w:rPr>
          <w:rStyle w:val="VerbatimChar"/>
        </w:rPr>
        <w:t xml:space="preserve">UNSW_NB15_testing-set.csv</w:t>
      </w:r>
      <w:r>
        <w:t xml:space="preserve"> </w:t>
      </w:r>
      <w:r>
        <w:t xml:space="preserve">(82,332 rows) under</w:t>
      </w:r>
      <w:r>
        <w:t xml:space="preserve"> </w:t>
      </w:r>
      <w:r>
        <w:rPr>
          <w:rStyle w:val="VerbatimChar"/>
        </w:rPr>
        <w:t xml:space="preserve">datasets/UNSW-NB15/</w:t>
      </w:r>
      <w:r>
        <w:t xml:space="preserve">.</w:t>
      </w:r>
    </w:p>
    <w:bookmarkEnd w:id="20"/>
    <w:bookmarkStart w:id="24" w:name="composition-measured"/>
    <w:p>
      <w:pPr>
        <w:pStyle w:val="Heading3"/>
      </w:pPr>
      <w:r>
        <w:t xml:space="preserve">4.2 Composition (measured)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Exploits</w:t>
            </w:r>
          </w:p>
        </w:tc>
        <w:tc>
          <w:tcPr/>
          <w:p>
            <w:pPr>
              <w:pStyle w:val="Compact"/>
            </w:pPr>
            <w:r>
              <w:t xml:space="preserve">Fuzzers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Recon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Backdoor</w:t>
            </w:r>
          </w:p>
        </w:tc>
        <w:tc>
          <w:tcPr/>
          <w:p>
            <w:pPr>
              <w:pStyle w:val="Compact"/>
            </w:pPr>
            <w:r>
              <w:t xml:space="preserve">Shellcode</w:t>
            </w:r>
          </w:p>
        </w:tc>
        <w:tc>
          <w:tcPr/>
          <w:p>
            <w:pPr>
              <w:pStyle w:val="Compact"/>
            </w:pPr>
            <w:r>
              <w:t xml:space="preserve">Worms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56,000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33,393</w:t>
            </w:r>
          </w:p>
        </w:tc>
        <w:tc>
          <w:tcPr/>
          <w:p>
            <w:pPr>
              <w:pStyle w:val="Compact"/>
            </w:pPr>
            <w:r>
              <w:t xml:space="preserve">18,184</w:t>
            </w:r>
          </w:p>
        </w:tc>
        <w:tc>
          <w:tcPr/>
          <w:p>
            <w:pPr>
              <w:pStyle w:val="Compact"/>
            </w:pPr>
            <w:r>
              <w:t xml:space="preserve">12,264</w:t>
            </w:r>
          </w:p>
        </w:tc>
        <w:tc>
          <w:tcPr/>
          <w:p>
            <w:pPr>
              <w:pStyle w:val="Compact"/>
            </w:pPr>
            <w:r>
              <w:t xml:space="preserve">10,491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1,746</w:t>
            </w:r>
          </w:p>
        </w:tc>
        <w:tc>
          <w:tcPr/>
          <w:p>
            <w:pPr>
              <w:pStyle w:val="Compact"/>
            </w:pPr>
            <w:r>
              <w:t xml:space="preserve">1,133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37,000</w:t>
            </w:r>
          </w:p>
        </w:tc>
        <w:tc>
          <w:tcPr/>
          <w:p>
            <w:pPr>
              <w:pStyle w:val="Compact"/>
            </w:pPr>
            <w:r>
              <w:t xml:space="preserve">18,871</w:t>
            </w:r>
          </w:p>
        </w:tc>
        <w:tc>
          <w:tcPr/>
          <w:p>
            <w:pPr>
              <w:pStyle w:val="Compact"/>
            </w:pPr>
            <w:r>
              <w:t xml:space="preserve">11,132</w:t>
            </w:r>
          </w:p>
        </w:tc>
        <w:tc>
          <w:tcPr/>
          <w:p>
            <w:pPr>
              <w:pStyle w:val="Compact"/>
            </w:pPr>
            <w:r>
              <w:t xml:space="preserve">6,062</w:t>
            </w:r>
          </w:p>
        </w:tc>
        <w:tc>
          <w:tcPr/>
          <w:p>
            <w:pPr>
              <w:pStyle w:val="Compact"/>
            </w:pPr>
            <w:r>
              <w:t xml:space="preserve">4,089</w:t>
            </w:r>
          </w:p>
        </w:tc>
        <w:tc>
          <w:tcPr/>
          <w:p>
            <w:pPr>
              <w:pStyle w:val="Compact"/>
            </w:pPr>
            <w:r>
              <w:t xml:space="preserve">3,496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583</w:t>
            </w:r>
          </w:p>
        </w:tc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58,871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44,525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24,246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16,353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13,987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174</w:t>
            </w:r>
          </w:p>
        </w:tc>
      </w:tr>
    </w:tbl>
    <w:p>
      <w:pPr>
        <w:pStyle w:val="CaptionedFigure"/>
      </w:pPr>
      <w:r>
        <w:drawing>
          <wp:inline>
            <wp:extent cx="5334000" cy="3331824"/>
            <wp:effectExtent b="0" l="0" r="0" t="0"/>
            <wp:docPr descr="UNSW-NB15 attack distribution" title="" id="22" name="Picture"/>
            <a:graphic>
              <a:graphicData uri="http://schemas.openxmlformats.org/drawingml/2006/picture">
                <pic:pic>
                  <pic:nvPicPr>
                    <pic:cNvPr descr="figures/fig_unsw_class_d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UNSW-NB15 attack distribution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4"/>
        </w:numPr>
      </w:pPr>
      <w:r>
        <w:t xml:space="preserve">Binary split is well balanced:</w:t>
      </w:r>
      <w:r>
        <w:t xml:space="preserve"> </w:t>
      </w:r>
      <w:r>
        <w:rPr>
          <w:rStyle w:val="VerbatimChar"/>
        </w:rPr>
        <w:t xml:space="preserve">label=1</w:t>
      </w:r>
      <w:r>
        <w:t xml:space="preserve"> </w:t>
      </w:r>
      <w:r>
        <w:t xml:space="preserve">(attack) = 164,673 vs</w:t>
      </w:r>
      <w:r>
        <w:t xml:space="preserve"> </w:t>
      </w:r>
      <w:r>
        <w:rPr>
          <w:rStyle w:val="VerbatimChar"/>
        </w:rPr>
        <w:t xml:space="preserve">label=0</w:t>
      </w:r>
      <w:r>
        <w:t xml:space="preserve"> </w:t>
      </w:r>
      <w:r>
        <w:t xml:space="preserve">(Normal) = 93,000.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attack_cat</w:t>
      </w:r>
      <w:r>
        <w:t xml:space="preserve"> </w:t>
      </w:r>
      <w:r>
        <w:t xml:space="preserve">is imbalanced across the 9 attack classes (Worms = 174 vs Generic = 58,871).</w:t>
      </w:r>
    </w:p>
    <w:p>
      <w:pPr>
        <w:pStyle w:val="Compact"/>
        <w:numPr>
          <w:ilvl w:val="0"/>
          <w:numId w:val="1004"/>
        </w:numPr>
      </w:pPr>
      <w:r>
        <w:t xml:space="preserve">The provided CSVs already</w:t>
      </w:r>
      <w:r>
        <w:t xml:space="preserve"> </w:t>
      </w:r>
      <w:r>
        <w:rPr>
          <w:b/>
          <w:bCs/>
        </w:rPr>
        <w:t xml:space="preserve">exclude</w:t>
      </w:r>
      <w:r>
        <w:t xml:space="preserve"> </w:t>
      </w:r>
      <w:r>
        <w:t xml:space="preserve">the raw identity columns (</w:t>
      </w:r>
      <w:r>
        <w:rPr>
          <w:rStyle w:val="VerbatimChar"/>
        </w:rPr>
        <w:t xml:space="preserve">srcip</w:t>
      </w:r>
      <w:r>
        <w:t xml:space="preserve">,</w:t>
      </w:r>
      <w:r>
        <w:t xml:space="preserve"> </w:t>
      </w:r>
      <w:r>
        <w:rPr>
          <w:rStyle w:val="VerbatimChar"/>
        </w:rPr>
        <w:t xml:space="preserve">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dsport</w:t>
      </w:r>
      <w:r>
        <w:t xml:space="preserve">) that are present in the full 49-column canonical release — this copy is the</w:t>
      </w:r>
      <w:r>
        <w:t xml:space="preserve"> </w:t>
      </w:r>
      <w:r>
        <w:t xml:space="preserve">reduced 45-column variant (</w:t>
      </w:r>
      <w:r>
        <w:rPr>
          <w:rStyle w:val="VerbatimChar"/>
        </w:rPr>
        <w:t xml:space="preserve">id</w:t>
      </w:r>
      <w:r>
        <w:t xml:space="preserve"> </w:t>
      </w:r>
      <w:r>
        <w:t xml:space="preserve">+ 42 features +</w:t>
      </w:r>
      <w:r>
        <w:t xml:space="preserve"> </w:t>
      </w:r>
      <w:r>
        <w:rPr>
          <w:rStyle w:val="VerbatimChar"/>
        </w:rPr>
        <w:t xml:space="preserve">attack_cat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).</w:t>
      </w:r>
    </w:p>
    <w:bookmarkEnd w:id="24"/>
    <w:bookmarkStart w:id="25" w:name="feature-schema-1"/>
    <w:p>
      <w:pPr>
        <w:pStyle w:val="Heading3"/>
      </w:pPr>
      <w:r>
        <w:t xml:space="preserve">4.3 Feature schema</w:t>
      </w:r>
    </w:p>
    <w:p>
      <w:pPr>
        <w:pStyle w:val="FirstParagraph"/>
      </w:pPr>
      <w:r>
        <w:t xml:space="preserve">42 features, a mix of numeric counters and a few categoricals (</w:t>
      </w:r>
      <w:r>
        <w:rPr>
          <w:rStyle w:val="VerbatimChar"/>
        </w:rPr>
        <w:t xml:space="preserve">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ct_*</w:t>
      </w:r>
      <w:r>
        <w:t xml:space="preserve"> </w:t>
      </w:r>
      <w:r>
        <w:t xml:space="preserve">features (e.g. </w:t>
      </w:r>
      <w:r>
        <w:rPr>
          <w:rStyle w:val="VerbatimChar"/>
        </w:rPr>
        <w:t xml:space="preserve">ct_srv_src</w:t>
      </w:r>
      <w:r>
        <w:t xml:space="preserve">,</w:t>
      </w:r>
      <w:r>
        <w:t xml:space="preserve"> </w:t>
      </w:r>
      <w:r>
        <w:rPr>
          <w:rStyle w:val="VerbatimChar"/>
        </w:rPr>
        <w:t xml:space="preserve">ct_dst_ltm</w:t>
      </w:r>
      <w:r>
        <w:t xml:space="preserve">) count how many of the last 100</w:t>
      </w:r>
      <w:r>
        <w:t xml:space="preserve"> </w:t>
      </w:r>
      <w:r>
        <w:t xml:space="preserve">connections share the same service/host/port — these are</w:t>
      </w:r>
      <w:r>
        <w:t xml:space="preserve"> </w:t>
      </w:r>
      <w:r>
        <w:rPr>
          <w:b/>
          <w:bCs/>
        </w:rPr>
        <w:t xml:space="preserve">temporal-window aggregations that</w:t>
      </w:r>
      <w:r>
        <w:rPr>
          <w:b/>
          <w:bCs/>
        </w:rPr>
        <w:t xml:space="preserve"> </w:t>
      </w:r>
      <w:r>
        <w:rPr>
          <w:b/>
          <w:bCs/>
        </w:rPr>
        <w:t xml:space="preserve">depend on the collection window</w:t>
      </w:r>
      <w:r>
        <w:t xml:space="preserve"> </w:t>
      </w:r>
      <w:r>
        <w:t xml:space="preserve">and are a known source of non-transferable signal [4], [6].</w:t>
      </w:r>
      <w:r>
        <w:t xml:space="preserve"> </w:t>
      </w:r>
      <w:r>
        <w:t xml:space="preserve">Two timestamp columns (</w:t>
      </w:r>
      <w:r>
        <w:rPr>
          <w:rStyle w:val="VerbatimChar"/>
        </w:rPr>
        <w:t xml:space="preserve">stime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ltime</w:t>
      </w:r>
      <w:r>
        <w:t xml:space="preserve">) are absent in this variant.</w:t>
      </w:r>
    </w:p>
    <w:bookmarkEnd w:id="25"/>
    <w:bookmarkStart w:id="26" w:name="data-quality"/>
    <w:p>
      <w:pPr>
        <w:pStyle w:val="Heading3"/>
      </w:pPr>
      <w:r>
        <w:t xml:space="preserve">4.4 Data quality</w:t>
      </w:r>
    </w:p>
    <w:p>
      <w:pPr>
        <w:pStyle w:val="FirstParagraph"/>
      </w:pPr>
      <w:r>
        <w:t xml:space="preserve">No missing or infinite values were found. The main caveats are (i) the train/test split is a</w:t>
      </w:r>
      <w:r>
        <w:t xml:space="preserve"> </w:t>
      </w:r>
      <w:r>
        <w:t xml:space="preserve">provided fixed split rather than a random partition, and (ii) the</w:t>
      </w:r>
      <w:r>
        <w:t xml:space="preserve"> </w:t>
      </w:r>
      <w:r>
        <w:rPr>
          <w:rStyle w:val="VerbatimChar"/>
        </w:rPr>
        <w:t xml:space="preserve">ct_*</w:t>
      </w:r>
      <w:r>
        <w:t xml:space="preserve"> </w:t>
      </w:r>
      <w:r>
        <w:t xml:space="preserve">features are</w:t>
      </w:r>
      <w:r>
        <w:t xml:space="preserve"> </w:t>
      </w:r>
      <w:r>
        <w:t xml:space="preserve">time-dependent and leak collection-order information.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on_iot-network"/>
    <w:p>
      <w:pPr>
        <w:pStyle w:val="Heading2"/>
      </w:pPr>
      <w:r>
        <w:t xml:space="preserve">5. TON_IoT (network)</w:t>
      </w:r>
    </w:p>
    <w:bookmarkStart w:id="28" w:name="provenance-and-collection-methodology-2"/>
    <w:p>
      <w:pPr>
        <w:pStyle w:val="Heading3"/>
      </w:pPr>
      <w:r>
        <w:t xml:space="preserve">5.1 Provenance and collection methodology</w:t>
      </w:r>
    </w:p>
    <w:p>
      <w:pPr>
        <w:pStyle w:val="FirstParagraph"/>
      </w:pPr>
      <w:r>
        <w:t xml:space="preserve">TON_IoT [3], [28] is a heterogeneous IoT/IIoT dataset collected from a three-layer testbed</w:t>
      </w:r>
      <w:r>
        <w:t xml:space="preserve"> </w:t>
      </w:r>
      <w:r>
        <w:t xml:space="preserve">(edge, fog, cloud) orchestrated with SDN (VMware NSX) and NFV. The network portion contains</w:t>
      </w:r>
      <w:r>
        <w:t xml:space="preserve"> </w:t>
      </w:r>
      <w:r>
        <w:t xml:space="preserve">traffic from IoT sensors and hosts, with attacks in ten families. Network features are the</w:t>
      </w:r>
      <w:r>
        <w:t xml:space="preserve"> </w:t>
      </w:r>
      <w:r>
        <w:rPr>
          <w:b/>
          <w:bCs/>
        </w:rPr>
        <w:t xml:space="preserve">raw Zeek (Bro) connection-log fields</w:t>
      </w:r>
      <w:r>
        <w:t xml:space="preserve"> </w:t>
      </w:r>
      <w:r>
        <w:t xml:space="preserve">— a fundamentally different feature philosophy from</w:t>
      </w:r>
      <w:r>
        <w:t xml:space="preserve"> </w:t>
      </w:r>
      <w:r>
        <w:t xml:space="preserve">CICFlowMeter (no aggregate statistics; instead protocol-specific fields such as</w:t>
      </w:r>
      <w:r>
        <w:t xml:space="preserve"> </w:t>
      </w:r>
      <w:r>
        <w:rPr>
          <w:rStyle w:val="VerbatimChar"/>
        </w:rPr>
        <w:t xml:space="preserve">dns_*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http_*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conn_state</w:t>
      </w:r>
      <w:r>
        <w:t xml:space="preserve">).</w:t>
      </w:r>
    </w:p>
    <w:p>
      <w:pPr>
        <w:pStyle w:val="BodyText"/>
      </w:pPr>
      <w:r>
        <w:t xml:space="preserve">This copy ships as the combined</w:t>
      </w:r>
      <w:r>
        <w:t xml:space="preserve"> </w:t>
      </w:r>
      <w:r>
        <w:rPr>
          <w:rStyle w:val="VerbatimChar"/>
        </w:rPr>
        <w:t xml:space="preserve">train_test_network.csv</w:t>
      </w:r>
      <w:r>
        <w:t xml:space="preserve"> </w:t>
      </w:r>
      <w:r>
        <w:t xml:space="preserve">(211,043 rows) under</w:t>
      </w:r>
      <w:r>
        <w:t xml:space="preserve"> </w:t>
      </w:r>
      <w:r>
        <w:rPr>
          <w:rStyle w:val="VerbatimChar"/>
        </w:rPr>
        <w:t xml:space="preserve">datasets/TON_IOT network train-test/Train_Test_Network_dataset/</w:t>
      </w:r>
      <w:r>
        <w:t xml:space="preserve">, plus 24 per-day</w:t>
      </w:r>
      <w:r>
        <w:t xml:space="preserve"> </w:t>
      </w:r>
      <w:r>
        <w:rPr>
          <w:rStyle w:val="VerbatimChar"/>
        </w:rPr>
        <w:t xml:space="preserve">Network_dataset_*.csv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datasets/TON_IOT network processed/</w:t>
      </w:r>
      <w:r>
        <w:t xml:space="preserve">.</w:t>
      </w:r>
    </w:p>
    <w:bookmarkEnd w:id="28"/>
    <w:bookmarkStart w:id="32" w:name="composition-measured-1"/>
    <w:p>
      <w:pPr>
        <w:pStyle w:val="Heading3"/>
      </w:pPr>
      <w:r>
        <w:t xml:space="preserve">5.2 Composition (measured)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backdoor</w:t>
            </w:r>
          </w:p>
        </w:tc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scanning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mitm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1,043</w:t>
            </w:r>
          </w:p>
        </w:tc>
      </w:tr>
    </w:tbl>
    <w:p>
      <w:pPr>
        <w:pStyle w:val="CaptionedFigure"/>
      </w:pPr>
      <w:r>
        <w:drawing>
          <wp:inline>
            <wp:extent cx="5334000" cy="3335034"/>
            <wp:effectExtent b="0" l="0" r="0" t="0"/>
            <wp:docPr descr="TON_IoT type distribution" title="" id="30" name="Picture"/>
            <a:graphic>
              <a:graphicData uri="http://schemas.openxmlformats.org/drawingml/2006/picture">
                <pic:pic>
                  <pic:nvPicPr>
                    <pic:cNvPr descr="figures/fig_ton_class_di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TON_IoT type distribution</w:t>
      </w:r>
    </w:p>
    <w:p>
      <w:pPr>
        <w:pStyle w:val="BodyText"/>
      </w:pPr>
      <w:r>
        <w:t xml:space="preserve">Key observations:</w:t>
      </w:r>
    </w:p>
    <w:p>
      <w:pPr>
        <w:pStyle w:val="Compact"/>
        <w:numPr>
          <w:ilvl w:val="0"/>
          <w:numId w:val="1005"/>
        </w:numPr>
      </w:pPr>
      <w:r>
        <w:t xml:space="preserve">Attack classes are</w:t>
      </w:r>
      <w:r>
        <w:t xml:space="preserve"> </w:t>
      </w:r>
      <w:r>
        <w:rPr>
          <w:b/>
          <w:bCs/>
        </w:rPr>
        <w:t xml:space="preserve">near-uniformly balanced</w:t>
      </w:r>
      <w:r>
        <w:t xml:space="preserve"> </w:t>
      </w:r>
      <w:r>
        <w:t xml:space="preserve">(20,000 each) except</w:t>
      </w:r>
      <w:r>
        <w:t xml:space="preserve"> </w:t>
      </w:r>
      <w:r>
        <w:rPr>
          <w:rStyle w:val="VerbatimChar"/>
        </w:rPr>
        <w:t xml:space="preserve">mitm</w:t>
      </w:r>
      <w:r>
        <w:t xml:space="preserve"> </w:t>
      </w:r>
      <w:r>
        <w:t xml:space="preserve">(1,043) — a</w:t>
      </w:r>
      <w:r>
        <w:t xml:space="preserve"> </w:t>
      </w:r>
      <w:r>
        <w:t xml:space="preserve">deliberate design choice that removes the class-imbalance confound present in the other two</w:t>
      </w:r>
      <w:r>
        <w:t xml:space="preserve"> </w:t>
      </w:r>
      <w:r>
        <w:t xml:space="preserve">datasets.</w:t>
      </w:r>
    </w:p>
    <w:p>
      <w:pPr>
        <w:pStyle w:val="Compact"/>
        <w:numPr>
          <w:ilvl w:val="0"/>
          <w:numId w:val="1005"/>
        </w:numPr>
      </w:pPr>
      <w:r>
        <w:t xml:space="preserve">Binary split:</w:t>
      </w:r>
      <w:r>
        <w:t xml:space="preserve"> </w:t>
      </w:r>
      <w:r>
        <w:rPr>
          <w:rStyle w:val="VerbatimChar"/>
        </w:rPr>
        <w:t xml:space="preserve">label=1</w:t>
      </w:r>
      <w:r>
        <w:t xml:space="preserve"> </w:t>
      </w:r>
      <w:r>
        <w:t xml:space="preserve">(attack) = 161,043 vs</w:t>
      </w:r>
      <w:r>
        <w:t xml:space="preserve"> </w:t>
      </w:r>
      <w:r>
        <w:rPr>
          <w:rStyle w:val="VerbatimChar"/>
        </w:rPr>
        <w:t xml:space="preserve">label=0</w:t>
      </w:r>
      <w:r>
        <w:t xml:space="preserve"> </w:t>
      </w:r>
      <w:r>
        <w:t xml:space="preserve">(normal) = 50,000.</w:t>
      </w:r>
    </w:p>
    <w:bookmarkEnd w:id="32"/>
    <w:bookmarkStart w:id="33" w:name="feature-schema-2"/>
    <w:p>
      <w:pPr>
        <w:pStyle w:val="Heading3"/>
      </w:pPr>
      <w:r>
        <w:t xml:space="preserve">5.3 Feature schema</w:t>
      </w:r>
    </w:p>
    <w:p>
      <w:pPr>
        <w:pStyle w:val="FirstParagraph"/>
      </w:pPr>
      <w:r>
        <w:t xml:space="preserve">42 feature columns plus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Unlike the other two datasets,</w:t>
      </w:r>
      <w:r>
        <w:t xml:space="preserve"> </w:t>
      </w:r>
      <w:r>
        <w:rPr>
          <w:b/>
          <w:bCs/>
        </w:rPr>
        <w:t xml:space="preserve">most columns are</w:t>
      </w:r>
      <w:r>
        <w:rPr>
          <w:b/>
          <w:bCs/>
        </w:rPr>
        <w:t xml:space="preserve"> </w:t>
      </w:r>
      <w:r>
        <w:rPr>
          <w:b/>
          <w:bCs/>
        </w:rPr>
        <w:t xml:space="preserve">categorical strings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dns_query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dns_*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ssl_*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weird_*</w:t>
      </w:r>
      <w:r>
        <w:t xml:space="preserve">, etc. Only ~15 columns are 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src_pkts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dst_pkts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dst_ip_bytes</w:t>
      </w:r>
      <w:r>
        <w:t xml:space="preserve">, port fields, and a few counters).</w:t>
      </w:r>
    </w:p>
    <w:p>
      <w:pPr>
        <w:pStyle w:val="BodyText"/>
      </w:pPr>
      <w:r>
        <w:t xml:space="preserve">Implications:</w:t>
      </w:r>
    </w:p>
    <w:p>
      <w:pPr>
        <w:pStyle w:val="Compact"/>
        <w:numPr>
          <w:ilvl w:val="0"/>
          <w:numId w:val="1006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one-hot / target encoding</w:t>
      </w:r>
      <w:r>
        <w:t xml:space="preserve"> </w:t>
      </w:r>
      <w:r>
        <w:t xml:space="preserve">of high-cardinality categoricals (</w:t>
      </w:r>
      <w:r>
        <w:rPr>
          <w:rStyle w:val="VerbatimChar"/>
        </w:rPr>
        <w:t xml:space="preserve">http_uri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dns_query</w:t>
      </w:r>
      <w:r>
        <w:t xml:space="preserve"> </w:t>
      </w:r>
      <w:r>
        <w:t xml:space="preserve">have very large vocabularies).</w:t>
      </w:r>
    </w:p>
    <w:p>
      <w:pPr>
        <w:pStyle w:val="Compact"/>
        <w:numPr>
          <w:ilvl w:val="0"/>
          <w:numId w:val="1006"/>
        </w:numPr>
      </w:pPr>
      <w:r>
        <w:t xml:space="preserve">Contains explicit</w:t>
      </w:r>
      <w:r>
        <w:t xml:space="preserve"> </w:t>
      </w:r>
      <w:r>
        <w:rPr>
          <w:b/>
          <w:bCs/>
        </w:rPr>
        <w:t xml:space="preserve">identity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dst_port</w:t>
      </w:r>
      <w:r>
        <w:t xml:space="preserve">) that</w:t>
      </w:r>
      <w:r>
        <w:t xml:space="preserve"> </w:t>
      </w:r>
      <w:r>
        <w:t xml:space="preserve">must be dropped or treated with extreme care to avoid memorisation.</w:t>
      </w:r>
    </w:p>
    <w:p>
      <w:pPr>
        <w:pStyle w:val="Compact"/>
        <w:numPr>
          <w:ilvl w:val="0"/>
          <w:numId w:val="1006"/>
        </w:numPr>
      </w:pPr>
      <w:r>
        <w:t xml:space="preserve">The Zeek schema is the</w:t>
      </w:r>
      <w:r>
        <w:t xml:space="preserve"> </w:t>
      </w:r>
      <w:r>
        <w:t xml:space="preserve">“rawest”</w:t>
      </w:r>
      <w:r>
        <w:t xml:space="preserve"> </w:t>
      </w:r>
      <w:r>
        <w:t xml:space="preserve">of the three — closest to what a production sensor emits —</w:t>
      </w:r>
      <w:r>
        <w:t xml:space="preserve"> </w:t>
      </w:r>
      <w:r>
        <w:t xml:space="preserve">which makes it the most realistic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domain for transfer.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a75e5f68448a3e05947ea70143dd29f557a52a0"/>
    <w:p>
      <w:pPr>
        <w:pStyle w:val="Heading2"/>
      </w:pPr>
      <w:r>
        <w:t xml:space="preserve">6. Cross-Dataset Comparison — The Feature-Schema Mismatch</w:t>
      </w:r>
    </w:p>
    <w:bookmarkStart w:id="38" w:name="feature-space-size"/>
    <w:p>
      <w:pPr>
        <w:pStyle w:val="Heading3"/>
      </w:pPr>
      <w:r>
        <w:t xml:space="preserve">6.1 Feature-space size</w:t>
      </w:r>
    </w:p>
    <w:p>
      <w:pPr>
        <w:pStyle w:val="CaptionedFigure"/>
      </w:pPr>
      <w:r>
        <w:drawing>
          <wp:inline>
            <wp:extent cx="5334000" cy="2761064"/>
            <wp:effectExtent b="0" l="0" r="0" t="0"/>
            <wp:docPr descr="Feature counts per dataset" title="" id="36" name="Picture"/>
            <a:graphic>
              <a:graphicData uri="http://schemas.openxmlformats.org/drawingml/2006/picture">
                <pic:pic>
                  <pic:nvPicPr>
                    <pic:cNvPr descr="figures/fig_feature_coun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counts per dataset</w:t>
      </w:r>
    </w:p>
    <w:p>
      <w:pPr>
        <w:pStyle w:val="BodyText"/>
      </w:pPr>
      <w:r>
        <w:t xml:space="preserve">The three datasets expose comparable numbers of columns (78 vs 42 vs 42), but these columns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almost disjoint</w:t>
      </w:r>
      <w:r>
        <w:t xml:space="preserve">. There is no shared column name across all three datasets.</w:t>
      </w:r>
    </w:p>
    <w:bookmarkEnd w:id="38"/>
    <w:bookmarkStart w:id="39" w:name="X3831c9fa52fd4a07d0f013b3e15f3f3d72378c9"/>
    <w:p>
      <w:pPr>
        <w:pStyle w:val="Heading3"/>
      </w:pPr>
      <w:r>
        <w:t xml:space="preserve">6.2 Semantic feature mapping (the shared subspace)</w:t>
      </w:r>
    </w:p>
    <w:p>
      <w:pPr>
        <w:pStyle w:val="FirstParagraph"/>
      </w:pPr>
      <w:r>
        <w:t xml:space="preserve">To run any cross-dataset experiment, one must map features to a</w:t>
      </w:r>
      <w:r>
        <w:t xml:space="preserve"> </w:t>
      </w:r>
      <w:r>
        <w:rPr>
          <w:b/>
          <w:bCs/>
        </w:rPr>
        <w:t xml:space="preserve">common semantic subspace</w:t>
      </w:r>
      <w:r>
        <w:t xml:space="preserve">.</w:t>
      </w:r>
      <w:r>
        <w:t xml:space="preserve"> </w:t>
      </w:r>
      <w:r>
        <w:t xml:space="preserve">The table below is the core of our feature-harmonisation design. A ✓ in three columns means</w:t>
      </w:r>
      <w:r>
        <w:t xml:space="preserve"> </w:t>
      </w:r>
      <w:r>
        <w:t xml:space="preserve">the feature can be constructed in all three datasets 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Semantic concept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  <w:tc>
          <w:tcPr/>
          <w:p>
            <w:pPr>
              <w:pStyle w:val="Compact"/>
            </w:pPr>
            <w:r>
              <w:t xml:space="preserve">All three?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Flow/connection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Source→dest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Length of Fwd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src_bytes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Dest→source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Length of Bwd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dst_bytes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Source→dest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Fwd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src_pkts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Dest→source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Backward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dst_pkts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(implicit via flags/port)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 Port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Connection state</w:t>
            </w:r>
          </w:p>
        </w:tc>
        <w:tc>
          <w:tcPr/>
          <w:p>
            <w:pPr>
              <w:pStyle w:val="Compact"/>
            </w:pPr>
            <w:r>
              <w:t xml:space="preserve">(TCP flag counts, proxy)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conn_state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Byte/packet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 Bytes/s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 Packets/s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dload</w:t>
            </w:r>
          </w:p>
        </w:tc>
        <w:tc>
          <w:tcPr/>
          <w:p>
            <w:pPr>
              <w:pStyle w:val="Compact"/>
            </w:pPr>
            <w:r>
              <w:t xml:space="preserve">derivable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Packet-size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Packet Length *</w:t>
            </w:r>
            <w:r>
              <w:t xml:space="preserve"> </w:t>
            </w:r>
            <w:r>
              <w:t xml:space="preserve">(16 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Inter-arrival/jitter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 IAT 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Fwd/Bwd IAT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sinpkt</w:t>
            </w:r>
            <w:r>
              <w:t xml:space="preserve">,</w:t>
            </w:r>
            <w:r>
              <w:rPr>
                <w:rStyle w:val="VerbatimChar"/>
              </w:rPr>
              <w:t xml:space="preserve">dinpkt</w:t>
            </w:r>
            <w:r>
              <w:t xml:space="preserve">,</w:t>
            </w:r>
            <w:r>
              <w:rPr>
                <w:rStyle w:val="VerbatimChar"/>
              </w:rPr>
              <w:t xml:space="preserve">sjit</w:t>
            </w:r>
            <w:r>
              <w:t xml:space="preserve">,</w:t>
            </w:r>
            <w:r>
              <w:rPr>
                <w:rStyle w:val="VerbatimChar"/>
              </w:rPr>
              <w:t xml:space="preserve">djit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TCP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SYN/FIN/RST/PSH/ACK/URG/ECE/CWE Flag 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TCP window / 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Init_Win_bytes_*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 Bulk 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Subflow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swin</w:t>
            </w:r>
            <w:r>
              <w:t xml:space="preserve">,</w:t>
            </w:r>
            <w:r>
              <w:rPr>
                <w:rStyle w:val="VerbatimChar"/>
              </w:rPr>
              <w:t xml:space="preserve">dwin</w:t>
            </w:r>
            <w:r>
              <w:t xml:space="preserve">,</w:t>
            </w:r>
            <w:r>
              <w:rPr>
                <w:rStyle w:val="VerbatimChar"/>
              </w:rPr>
              <w:t xml:space="preserve">stcpb</w:t>
            </w:r>
            <w:r>
              <w:t xml:space="preserve">,</w:t>
            </w:r>
            <w:r>
              <w:rPr>
                <w:rStyle w:val="VerbatimChar"/>
              </w:rPr>
              <w:t xml:space="preserve">dtcpb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dttl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Connection-count windows</w:t>
            </w:r>
          </w:p>
        </w:tc>
        <w:tc>
          <w:tcPr/>
          <w:p>
            <w:pPr>
              <w:pStyle w:val="Compact"/>
            </w:pPr>
            <w:r>
              <w:t xml:space="preserve">(partly via Subflow)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ct_*</w:t>
            </w:r>
            <w:r>
              <w:t xml:space="preserve"> </w:t>
            </w:r>
            <w:r>
              <w:t xml:space="preserve">(10 cols)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HTTP application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trans_depth</w:t>
            </w:r>
            <w:r>
              <w:t xml:space="preserve">,</w:t>
            </w:r>
            <w:r>
              <w:rPr>
                <w:rStyle w:val="VerbatimChar"/>
              </w:rPr>
              <w:t xml:space="preserve">response_body_len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http_*</w:t>
            </w:r>
            <w:r>
              <w:t xml:space="preserve"> </w:t>
            </w:r>
            <w:r>
              <w:t xml:space="preserve">(14 cols)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DNS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dns_*</w:t>
            </w:r>
            <w:r>
              <w:t xml:space="preserve"> </w:t>
            </w:r>
            <w:r>
              <w:t xml:space="preserve">(8 cols)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SSL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ssl_*</w:t>
            </w:r>
            <w:r>
              <w:t xml:space="preserve"> </w:t>
            </w:r>
            <w:r>
              <w:t xml:space="preserve">(6 cols)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directly shared</w:t>
      </w:r>
      <w:r>
        <w:t xml:space="preserve"> </w:t>
      </w:r>
      <w:r>
        <w:t xml:space="preserve">numeric subspace is roughly</w:t>
      </w:r>
      <w:r>
        <w:t xml:space="preserve"> </w:t>
      </w:r>
      <w:r>
        <w:rPr>
          <w:b/>
          <w:bCs/>
        </w:rPr>
        <w:t xml:space="preserve">6 raw features</w:t>
      </w:r>
      <w:r>
        <w:t xml:space="preserve"> </w:t>
      </w:r>
      <w:r>
        <w:t xml:space="preserve">(duration, src/dst bytes, src/dst packets, plus proto/service/state after encoding). After</w:t>
      </w:r>
      <w:r>
        <w:t xml:space="preserve"> </w:t>
      </w:r>
      <w:r>
        <w:t xml:space="preserve">one-hot encoding protocol/service/state and deriving rate-like ratios, this expands to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15–25 comparable dimensions</w:t>
      </w:r>
      <w:r>
        <w:t xml:space="preserve">. This is consistent with prior cross-dataset work</w:t>
      </w:r>
      <w:r>
        <w:t xml:space="preserve"> </w:t>
      </w:r>
      <w:r>
        <w:t xml:space="preserve">that deliberately restricts to a common representation [4], [6], [7] — and it is the feature</w:t>
      </w:r>
      <w:r>
        <w:t xml:space="preserve"> </w:t>
      </w:r>
      <w:r>
        <w:t xml:space="preserve">set our metaheuristic optimiser will search over.</w:t>
      </w:r>
    </w:p>
    <w:bookmarkEnd w:id="39"/>
    <w:bookmarkStart w:id="40" w:name="X4d72fce35cc33fba92e8bfd214ba2191f15fd32"/>
    <w:p>
      <w:pPr>
        <w:pStyle w:val="Heading3"/>
      </w:pPr>
      <w:r>
        <w:t xml:space="preserve">6.3 Class-taxonomy mapping (binary + coarse multi-class)</w:t>
      </w:r>
    </w:p>
    <w:p>
      <w:pPr>
        <w:pStyle w:val="FirstParagraph"/>
      </w:pPr>
      <w:r>
        <w:t xml:space="preserve">Because each dataset names attacks differently, cross-dataset</w:t>
      </w:r>
      <w:r>
        <w:t xml:space="preserve"> </w:t>
      </w:r>
      <w:r>
        <w:rPr>
          <w:i/>
          <w:iCs/>
        </w:rPr>
        <w:t xml:space="preserve">multi-class</w:t>
      </w:r>
      <w:r>
        <w:t xml:space="preserve"> </w:t>
      </w:r>
      <w:r>
        <w:t xml:space="preserve">evaluation</w:t>
      </w:r>
      <w:r>
        <w:t xml:space="preserve"> </w:t>
      </w:r>
      <w:r>
        <w:t xml:space="preserve">requires a shared taxonomy. We propose the following mapping (binary = benign vs attack is</w:t>
      </w:r>
      <w:r>
        <w:t xml:space="preserve"> </w:t>
      </w:r>
      <w:r>
        <w:t xml:space="preserve">the primary target; coarse multi-class is the secondary target):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Coarse class</w:t>
            </w:r>
          </w:p>
        </w:tc>
        <w:tc>
          <w:tcPr/>
          <w:p>
            <w:pPr>
              <w:pStyle w:val="Compact"/>
            </w:pPr>
            <w:r>
              <w:t xml:space="preserve">CIC-IDS-2017</w:t>
            </w:r>
          </w:p>
        </w:tc>
        <w:tc>
          <w:tcPr/>
          <w:p>
            <w:pPr>
              <w:pStyle w:val="Compact"/>
            </w:pPr>
            <w:r>
              <w:t xml:space="preserve">UNSW-NB15</w:t>
            </w:r>
          </w:p>
        </w:tc>
        <w:tc>
          <w:tcPr/>
          <w:p>
            <w:pPr>
              <w:pStyle w:val="Compact"/>
            </w:pPr>
            <w:r>
              <w:t xml:space="preserve">TON_IoT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Benign / 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/ DDoS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 Hulk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 GoldenEye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 slowloris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 Slowhttptest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Reconnaissance /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Reconnaissance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/ Credential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FTP-Patator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SSH-Patator</w:t>
            </w:r>
          </w:p>
        </w:tc>
        <w:tc>
          <w:tcPr/>
          <w:p>
            <w:pPr>
              <w:pStyle w:val="Compact"/>
            </w:pPr>
            <w:r>
              <w:t xml:space="preserve">(part of</w:t>
            </w:r>
            <w:r>
              <w:t xml:space="preserve"> </w:t>
            </w:r>
            <w:r>
              <w:rPr>
                <w:rStyle w:val="VerbatimChar"/>
              </w:rPr>
              <w:t xml:space="preserve">Generic</w:t>
            </w:r>
            <w:r>
              <w:t xml:space="preserve">)*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Backdoor / 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Backdoor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backdoor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 Attack – Brute Force/XSS/Sql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Shellcode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/ Exploit / Worm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Exploits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Fuzzers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ransomware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(rare)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Heartbleed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Infiltration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 Note: the UNSW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/</w:t>
      </w:r>
      <w:r>
        <w:rPr>
          <w:rStyle w:val="VerbatimChar"/>
        </w:rPr>
        <w:t xml:space="preserve">Exploits</w:t>
      </w:r>
      <w:r>
        <w:t xml:space="preserve">/</w:t>
      </w:r>
      <w:r>
        <w:rPr>
          <w:rStyle w:val="VerbatimChar"/>
        </w:rPr>
        <w:t xml:space="preserve">Shellcode</w:t>
      </w:r>
      <w:r>
        <w:t xml:space="preserve"> </w:t>
      </w:r>
      <w:r>
        <w:t xml:space="preserve">categories do not cleanly map to the</w:t>
      </w:r>
      <w:r>
        <w:t xml:space="preserve"> </w:t>
      </w:r>
      <w:r>
        <w:t xml:space="preserve">others; this</w:t>
      </w:r>
      <w:r>
        <w:t xml:space="preserve"> </w:t>
      </w:r>
      <w:r>
        <w:rPr>
          <w:i/>
          <w:iCs/>
        </w:rPr>
        <w:t xml:space="preserve">semantic fuzziness</w:t>
      </w:r>
      <w:r>
        <w:t xml:space="preserve"> </w:t>
      </w:r>
      <w:r>
        <w:t xml:space="preserve">is itself a finding and a documented cause of the</w:t>
      </w:r>
      <w:r>
        <w:t xml:space="preserve"> </w:t>
      </w:r>
      <w:r>
        <w:t xml:space="preserve">generalisation gap (Objective 2 of the project).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hat-this-means-for-the-project"/>
    <w:p>
      <w:pPr>
        <w:pStyle w:val="Heading2"/>
      </w:pPr>
      <w:r>
        <w:t xml:space="preserve">7. What This Means for the Project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 harmonisation is unavoidable and is a first-class deliverable</w:t>
      </w:r>
      <w:r>
        <w:t xml:space="preserve">, not a</w:t>
      </w:r>
      <w:r>
        <w:t xml:space="preserve"> </w:t>
      </w:r>
      <w:r>
        <w:t xml:space="preserve">preprocessing detail.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Identity/leakage features must be removed</w:t>
      </w:r>
      <w:r>
        <w:t xml:space="preserve"> </w:t>
      </w:r>
      <w:r>
        <w:t xml:space="preserve">(CICIDS</w:t>
      </w:r>
      <w:r>
        <w:t xml:space="preserve"> </w:t>
      </w:r>
      <w:r>
        <w:rPr>
          <w:rStyle w:val="VerbatimChar"/>
        </w:rPr>
        <w:t xml:space="preserve">Destination Port</w:t>
      </w:r>
      <w:r>
        <w:t xml:space="preserve">; TON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dst_port</w:t>
      </w:r>
      <w:r>
        <w:t xml:space="preserve">) — otherwise cross-dataset scores measure memorisation.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Non-finite and categorical handling differs per dataset</w:t>
      </w:r>
      <w:r>
        <w:t xml:space="preserve">, so the pipeline must be</w:t>
      </w:r>
      <w:r>
        <w:t xml:space="preserve"> </w:t>
      </w:r>
      <w:r>
        <w:t xml:space="preserve">dataset-aware yet produce a</w:t>
      </w:r>
      <w:r>
        <w:t xml:space="preserve"> </w:t>
      </w:r>
      <w:r>
        <w:rPr>
          <w:i/>
          <w:iCs/>
        </w:rPr>
        <w:t xml:space="preserve">common</w:t>
      </w:r>
      <w:r>
        <w:t xml:space="preserve"> </w:t>
      </w:r>
      <w:r>
        <w:t xml:space="preserve">numeric matrix.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 imbalance is dataset-specific</w:t>
      </w:r>
      <w:r>
        <w:t xml:space="preserve"> </w:t>
      </w:r>
      <w:r>
        <w:t xml:space="preserve">(CICIDS extreme, TON balanced), so evaluation must</w:t>
      </w:r>
      <w:r>
        <w:t xml:space="preserve"> </w:t>
      </w:r>
      <w:r>
        <w:t xml:space="preserve">use per-class and macro metrics, not overall accuracy.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shared subspace is small</w:t>
      </w:r>
      <w:r>
        <w:t xml:space="preserve"> </w:t>
      </w:r>
      <w:r>
        <w:t xml:space="preserve">(~15–25 dims), which makes feature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w:r>
        <w:t xml:space="preserve">(the focus</w:t>
      </w:r>
      <w:r>
        <w:t xml:space="preserve"> </w:t>
      </w:r>
      <w:r>
        <w:t xml:space="preserve">of our metaheuristic work) both more important and more tractable.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I. Sharafaldin, A. H. Lashkari, and A. A. Ghorbani,</w:t>
      </w:r>
      <w:r>
        <w:t xml:space="preserve"> </w:t>
      </w:r>
      <w:r>
        <w:t xml:space="preserve">“Toward generating a new intrusion</w:t>
      </w:r>
      <w:r>
        <w:t xml:space="preserve"> </w:t>
      </w:r>
      <w:r>
        <w:t xml:space="preserve">detection dataset and intrusion traffic characterization,”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4th Int. Conf. Inf.</w:t>
      </w:r>
      <w:r>
        <w:rPr>
          <w:i/>
          <w:iCs/>
        </w:rPr>
        <w:t xml:space="preserve"> </w:t>
      </w:r>
      <w:r>
        <w:rPr>
          <w:i/>
          <w:iCs/>
        </w:rPr>
        <w:t xml:space="preserve">Syst. Secur. Privacy (ICISSP)</w:t>
      </w:r>
      <w:r>
        <w:t xml:space="preserve">, 2018.</w:t>
      </w:r>
    </w:p>
    <w:p>
      <w:pPr>
        <w:pStyle w:val="BodyText"/>
      </w:pPr>
      <w:r>
        <w:t xml:space="preserve">[2] N. Moustafa and J. Slay,</w:t>
      </w:r>
      <w:r>
        <w:t xml:space="preserve"> </w:t>
      </w:r>
      <w:r>
        <w:t xml:space="preserve">“UNSW-NB15: a comprehensive data set for network intrusion</w:t>
      </w:r>
      <w:r>
        <w:t xml:space="preserve"> </w:t>
      </w:r>
      <w:r>
        <w:t xml:space="preserve">detection systems (UNSW-NB15 network data set),”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Mil. Commun. Inf. Syst. Conf.</w:t>
      </w:r>
      <w:r>
        <w:rPr>
          <w:i/>
          <w:iCs/>
        </w:rPr>
        <w:t xml:space="preserve"> </w:t>
      </w:r>
      <w:r>
        <w:rPr>
          <w:i/>
          <w:iCs/>
        </w:rPr>
        <w:t xml:space="preserve">(MilCIS)</w:t>
      </w:r>
      <w:r>
        <w:t xml:space="preserve">, 2015.</w:t>
      </w:r>
    </w:p>
    <w:p>
      <w:pPr>
        <w:pStyle w:val="BodyText"/>
      </w:pPr>
      <w:r>
        <w:t xml:space="preserve">[3] N. Moustafa,</w:t>
      </w:r>
      <w:r>
        <w:t xml:space="preserve"> </w:t>
      </w:r>
      <w:r>
        <w:t xml:space="preserve">“A new distributed architecture for evaluating AI-based security systems at</w:t>
      </w:r>
      <w:r>
        <w:t xml:space="preserve"> </w:t>
      </w:r>
      <w:r>
        <w:t xml:space="preserve">the edge: Network TON_IoT datasets,”</w:t>
      </w:r>
      <w:r>
        <w:t xml:space="preserve"> </w:t>
      </w:r>
      <w:r>
        <w:rPr>
          <w:i/>
          <w:iCs/>
        </w:rPr>
        <w:t xml:space="preserve">Sustain. Cities Soc.</w:t>
      </w:r>
      <w:r>
        <w:t xml:space="preserve">, vol. 72, 2021.</w:t>
      </w:r>
    </w:p>
    <w:p>
      <w:pPr>
        <w:pStyle w:val="BodyText"/>
      </w:pPr>
      <w:r>
        <w:t xml:space="preserve">[4] M. Cantone, C. Marrocco, and A. Bria,</w:t>
      </w:r>
      <w:r>
        <w:t xml:space="preserve"> </w:t>
      </w:r>
      <w:r>
        <w:t xml:space="preserve">“On the cross-dataset generalization of machine</w:t>
      </w:r>
      <w:r>
        <w:t xml:space="preserve"> </w:t>
      </w:r>
      <w:r>
        <w:t xml:space="preserve">learning for network intrusion detection,”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12, pp. 144489–144508, 2024.</w:t>
      </w:r>
    </w:p>
    <w:p>
      <w:pPr>
        <w:pStyle w:val="BodyText"/>
      </w:pPr>
      <w:r>
        <w:t xml:space="preserve">[6] M. A. Hakim, M. S. Uddin, and T. I. Anis,</w:t>
      </w:r>
      <w:r>
        <w:t xml:space="preserve"> </w:t>
      </w:r>
      <w:r>
        <w:t xml:space="preserve">“Cross-domain generalization failure in</w:t>
      </w:r>
      <w:r>
        <w:t xml:space="preserve"> </w:t>
      </w:r>
      <w:r>
        <w:t xml:space="preserve">lightweight intrusion detection models for IIoT networks,”</w:t>
      </w:r>
      <w:r>
        <w:t xml:space="preserve"> </w:t>
      </w:r>
      <w:r>
        <w:t xml:space="preserve">arXiv:2607.00553, 2026.</w:t>
      </w:r>
    </w:p>
    <w:p>
      <w:pPr>
        <w:pStyle w:val="BodyText"/>
      </w:pPr>
      <w:r>
        <w:t xml:space="preserve">[22] J. Vitorino, M. Silva, E. Maia, and I. Praça,</w:t>
      </w:r>
      <w:r>
        <w:t xml:space="preserve"> </w:t>
      </w:r>
      <w:r>
        <w:t xml:space="preserve">“An adversarial robustness benchmark for</w:t>
      </w:r>
      <w:r>
        <w:t xml:space="preserve"> </w:t>
      </w:r>
      <w:r>
        <w:t xml:space="preserve">enterprise network intrusion detection,”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FPS</w:t>
      </w:r>
      <w:r>
        <w:t xml:space="preserve">, 2023.</w:t>
      </w:r>
    </w:p>
    <w:p>
      <w:pPr>
        <w:pStyle w:val="BodyText"/>
      </w:pPr>
      <w:r>
        <w:t xml:space="preserve">[28] N. Moustafa, M. Keshk, E. Debie, and H. Janicke,</w:t>
      </w:r>
      <w:r>
        <w:t xml:space="preserve"> </w:t>
      </w:r>
      <w:r>
        <w:t xml:space="preserve">“Federated TON_IoT Windows datasets</w:t>
      </w:r>
      <w:r>
        <w:t xml:space="preserve"> </w:t>
      </w:r>
      <w:r>
        <w:t xml:space="preserve">for evaluating AI-based security applications,”</w:t>
      </w:r>
      <w:r>
        <w:t xml:space="preserve"> </w:t>
      </w:r>
      <w:r>
        <w:t xml:space="preserve">arXiv:2010.08522, 2020.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2026-09-25T08:48:01Z</dcterms:created>
  <dcterms:modified xsi:type="dcterms:W3CDTF">2026-09-25T08:48:01Z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