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88a35a5e8b43a2c77d7fa64c3400357741e9a00"/>
    <w:p>
      <w:pPr>
        <w:pStyle w:val="Heading1"/>
      </w:pPr>
      <w:r>
        <w:t xml:space="preserve">BTP Project — Cross-Dataset Generalization of ML-Based Intrusion Detection</w:t>
      </w:r>
    </w:p>
    <w:p>
      <w:pPr>
        <w:pStyle w:val="FirstParagraph"/>
      </w:pPr>
      <w:r>
        <w:rPr>
          <w:b/>
          <w:bCs/>
        </w:rPr>
        <w:t xml:space="preserve">Topic:</w:t>
      </w:r>
      <w:r>
        <w:t xml:space="preserve"> </w:t>
      </w:r>
      <w:r>
        <w:t xml:space="preserve">Evaluating and improving the cross-dataset generalization of machine-learning</w:t>
      </w:r>
      <w:r>
        <w:t xml:space="preserve"> </w:t>
      </w:r>
      <w:r>
        <w:t xml:space="preserve">intrusion detection systems across CIC-IDS-2017, UNSW-NB15, and TON_IoT, using</w:t>
      </w:r>
      <w:r>
        <w:t xml:space="preserve"> </w:t>
      </w:r>
      <w:r>
        <w:t xml:space="preserve">metaheuristic/bio-inspired optimization for transferable feature selection.</w:t>
      </w:r>
    </w:p>
    <w:p>
      <w:pPr>
        <w:pStyle w:val="BodyText"/>
      </w:pPr>
      <w:r>
        <w:rPr>
          <w:b/>
          <w:bCs/>
        </w:rPr>
        <w:t xml:space="preserve">Team:</w:t>
      </w:r>
      <w:r>
        <w:t xml:space="preserve"> </w:t>
      </w:r>
      <w:r>
        <w:t xml:space="preserve">Shivam Chauhan (2023UIN3323), Deepesh (2023UIN3358), Shantanu Agarwal (2023UIN3330)</w:t>
      </w:r>
      <w:r>
        <w:t xml:space="preserve"> </w:t>
      </w:r>
      <w:r>
        <w:rPr>
          <w:b/>
          <w:bCs/>
        </w:rPr>
        <w:t xml:space="preserve">Supervisor:</w:t>
      </w:r>
      <w:r>
        <w:t xml:space="preserve"> </w:t>
      </w:r>
      <w:r>
        <w:t xml:space="preserve">Dr. Preeti Bansal — Department of Information Technology, NSUT</w:t>
      </w:r>
    </w:p>
    <w:p>
      <w:r>
        <w:pict>
          <v:rect style="width:0;height:1.5pt" o:hralign="center" o:hrstd="t" o:hr="t"/>
        </w:pict>
      </w:r>
    </w:p>
    <w:bookmarkStart w:id="20" w:name="document-set"/>
    <w:p>
      <w:pPr>
        <w:pStyle w:val="Heading2"/>
      </w:pPr>
      <w:r>
        <w:t xml:space="preserve">Document set</w:t>
      </w:r>
    </w:p>
    <w:bookmarkStart w:id="11" w:name="submission-deliverables-mid-semester"/>
    <w:p>
      <w:pPr>
        <w:pStyle w:val="Heading3"/>
      </w:pPr>
      <w:r>
        <w:t xml:space="preserve">Submission deliverables (mid-semester)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05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Mid-Semester Report</w:t>
            </w:r>
            <w:r>
              <w:t xml:space="preserve"> </w:t>
            </w:r>
            <w:r>
              <w:t xml:space="preserve">(18 pp)</w:t>
            </w:r>
          </w:p>
        </w:tc>
        <w:tc>
          <w:tcPr/>
          <w:p>
            <w:pPr>
              <w:pStyle w:val="Compact"/>
            </w:pPr>
            <w:r>
              <w:t xml:space="preserve">The signable report with all required sections (title page, abstract, introduction, motivation, literature survey, problem statement, objectives, methodology, implementation, results, conclusion, references).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Presentation</w:t>
            </w:r>
            <w:r>
              <w:t xml:space="preserve"> </w:t>
            </w:r>
            <w:r>
              <w:t xml:space="preserve">(20 slides)</w:t>
            </w:r>
          </w:p>
        </w:tc>
        <w:tc>
          <w:tcPr/>
          <w:p>
            <w:pPr>
              <w:pStyle w:val="Compact"/>
            </w:pPr>
            <w:r>
              <w:t xml:space="preserve">Slide deck for the 10-minute presentation. Exports:</w:t>
            </w:r>
            <w:r>
              <w:t xml:space="preserve"> </w:t>
            </w:r>
            <w:r>
              <w:rPr>
                <w:rStyle w:val="VerbatimChar"/>
              </w:rPr>
              <w:t xml:space="preserve">.pptx</w:t>
            </w:r>
            <w:r>
              <w:t xml:space="preserve"> </w:t>
            </w:r>
            <w:r>
              <w:t xml:space="preserve">(editable),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(handout).</w:t>
            </w:r>
          </w:p>
        </w:tc>
      </w:tr>
    </w:tbl>
    <w:bookmarkEnd w:id="11"/>
    <w:bookmarkStart w:id="14" w:name="preparation-understanding"/>
    <w:p>
      <w:pPr>
        <w:pStyle w:val="Heading3"/>
      </w:pPr>
      <w:r>
        <w:t xml:space="preserve">Preparation / understanding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07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We Are Doing (plain language)</w:t>
            </w:r>
          </w:p>
        </w:tc>
        <w:tc>
          <w:tcPr/>
          <w:p>
            <w:pPr>
              <w:pStyle w:val="Compact"/>
            </w:pPr>
            <w:r>
              <w:t xml:space="preserve">Team explainer: the whole project in simple words, analogies, glossary.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08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Viva Q&amp;A Prep</w:t>
            </w:r>
          </w:p>
        </w:tc>
        <w:tc>
          <w:tcPr/>
          <w:p>
            <w:pPr>
              <w:pStyle w:val="Compact"/>
            </w:pPr>
            <w:r>
              <w:t xml:space="preserve">55 likely questions with model answers (including per-paper questions).</w:t>
            </w:r>
          </w:p>
        </w:tc>
      </w:tr>
    </w:tbl>
    <w:bookmarkEnd w:id="14"/>
    <w:bookmarkStart w:id="19" w:name="supporting-analysis"/>
    <w:p>
      <w:pPr>
        <w:pStyle w:val="Heading3"/>
      </w:pPr>
      <w:r>
        <w:t xml:space="preserve">Supporting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Dataset Report</w:t>
            </w:r>
          </w:p>
        </w:tc>
        <w:tc>
          <w:tcPr/>
          <w:p>
            <w:pPr>
              <w:pStyle w:val="Compact"/>
            </w:pPr>
            <w:r>
              <w:t xml:space="preserve">First-hand analysis of the three datasets, feature-schema mismatch, taxonomy mapping.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Literature Review (15 papers)</w:t>
            </w:r>
          </w:p>
        </w:tc>
        <w:tc>
          <w:tcPr/>
          <w:p>
            <w:pPr>
              <w:pStyle w:val="Compact"/>
            </w:pPr>
            <w:r>
              <w:t xml:space="preserve">Focused review with detailed per-paper summaries and the gap-synthesis table.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Research Gap, Objectives &amp; Scope</w:t>
            </w:r>
          </w:p>
        </w:tc>
        <w:tc>
          <w:tcPr/>
          <w:p>
            <w:pPr>
              <w:pStyle w:val="Compact"/>
            </w:pPr>
            <w:r>
              <w:t xml:space="preserve">Formal gap statements, novelty, objectives, scope, risks.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Methodology &amp; Plan</w:t>
            </w:r>
          </w:p>
        </w:tc>
        <w:tc>
          <w:tcPr/>
          <w:p>
            <w:pPr>
              <w:pStyle w:val="Compact"/>
            </w:pPr>
            <w:r>
              <w:t xml:space="preserve">7-phase plan, evaluation protocol, fitness-function design, timeline.</w:t>
            </w:r>
          </w:p>
        </w:tc>
      </w:tr>
    </w:tbl>
    <w:p>
      <w:pPr>
        <w:pStyle w:val="BodyText"/>
      </w:pPr>
      <w:r>
        <w:t xml:space="preserve">Figures are in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. Each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also has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exports.</w:t>
      </w:r>
    </w:p>
    <w:bookmarkEnd w:id="19"/>
    <w:bookmarkEnd w:id="20"/>
    <w:bookmarkStart w:id="21" w:name="supporting-code"/>
    <w:p>
      <w:pPr>
        <w:pStyle w:val="Heading2"/>
      </w:pPr>
      <w:r>
        <w:t xml:space="preserve">Supporting code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src/analyze_datasets.py</w:t>
      </w:r>
      <w:r>
        <w:t xml:space="preserve"> </w:t>
      </w:r>
      <w:r>
        <w:t xml:space="preserve">— computes dataset statistics from the raw CSVs.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src/generate_report_assets.py</w:t>
      </w:r>
      <w:r>
        <w:t xml:space="preserve"> </w:t>
      </w:r>
      <w:r>
        <w:t xml:space="preserve">— regenerates</w:t>
      </w:r>
      <w:r>
        <w:t xml:space="preserve"> </w:t>
      </w:r>
      <w:r>
        <w:rPr>
          <w:rStyle w:val="VerbatimChar"/>
        </w:rPr>
        <w:t xml:space="preserve">dataset_stats.json</w:t>
      </w:r>
      <w:r>
        <w:t xml:space="preserve"> </w:t>
      </w:r>
      <w:r>
        <w:t xml:space="preserve">and the class-distribution figures.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src/generate_extra_figures.py</w:t>
      </w:r>
      <w:r>
        <w:t xml:space="preserve"> </w:t>
      </w:r>
      <w:r>
        <w:t xml:space="preserve">— generates the pipeline, Gantt and shared-subspace figures.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src/dataset_stats.json</w:t>
      </w:r>
      <w:r>
        <w:t xml:space="preserve"> </w:t>
      </w:r>
      <w:r>
        <w:t xml:space="preserve">— measured statistics (rows, class distributions, NaN/Inf counts).</w:t>
      </w:r>
    </w:p>
    <w:bookmarkEnd w:id="21"/>
    <w:bookmarkStart w:id="22" w:name="X546f11242b24ca3c895bcb2b8a1f462f7de3b03"/>
    <w:p>
      <w:pPr>
        <w:pStyle w:val="Heading2"/>
      </w:pPr>
      <w:r>
        <w:t xml:space="preserve">Quick facts (measured from the downloaded data)</w:t>
      </w:r>
    </w:p>
    <w:p>
      <w:pPr>
        <w:pStyle w:val="Compact"/>
        <w:numPr>
          <w:ilvl w:val="0"/>
          <w:numId w:val="1002"/>
        </w:numPr>
      </w:pPr>
      <w:r>
        <w:t xml:space="preserve">CIC-IDS-2017: 2,830,743 flows, 77 unique features, 80.3% benign, 1,358 NaN + 4,376 Inf cells.</w:t>
      </w:r>
    </w:p>
    <w:p>
      <w:pPr>
        <w:pStyle w:val="Compact"/>
        <w:numPr>
          <w:ilvl w:val="0"/>
          <w:numId w:val="1002"/>
        </w:numPr>
      </w:pPr>
      <w:r>
        <w:t xml:space="preserve">UNSW-NB15: 257,673 records, 42 features, 9 attack classes + Normal.</w:t>
      </w:r>
    </w:p>
    <w:p>
      <w:pPr>
        <w:pStyle w:val="Compact"/>
        <w:numPr>
          <w:ilvl w:val="0"/>
          <w:numId w:val="1002"/>
        </w:numPr>
      </w:pPr>
      <w:r>
        <w:t xml:space="preserve">TON_IoT: 211,043 records, 42 features, 10 attack classes (near-balanced).</w:t>
      </w:r>
    </w:p>
    <w:p>
      <w:pPr>
        <w:pStyle w:val="Compact"/>
        <w:numPr>
          <w:ilvl w:val="0"/>
          <w:numId w:val="1002"/>
        </w:numPr>
      </w:pPr>
      <w:r>
        <w:t xml:space="preserve">The three datasets share</w:t>
      </w:r>
      <w:r>
        <w:t xml:space="preserve"> </w:t>
      </w:r>
      <w:r>
        <w:rPr>
          <w:b/>
          <w:bCs/>
        </w:rPr>
        <w:t xml:space="preserve">no common column names</w:t>
      </w:r>
      <w:r>
        <w:t xml:space="preserve">; only ~6 raw features are semantically alignable.</w:t>
      </w:r>
    </w:p>
    <w:bookmarkEnd w:id="22"/>
    <w:bookmarkStart w:id="23" w:name="how-to-read-this-for-the-review"/>
    <w:p>
      <w:pPr>
        <w:pStyle w:val="Heading2"/>
      </w:pPr>
      <w:r>
        <w:t xml:space="preserve">How to read this for the review</w:t>
      </w:r>
    </w:p>
    <w:p>
      <w:pPr>
        <w:pStyle w:val="Compact"/>
        <w:numPr>
          <w:ilvl w:val="0"/>
          <w:numId w:val="1003"/>
        </w:numPr>
      </w:pPr>
      <w:r>
        <w:t xml:space="preserve">Start with</w:t>
      </w:r>
      <w:r>
        <w:t xml:space="preserve"> </w:t>
      </w:r>
      <w:r>
        <w:rPr>
          <w:b/>
          <w:bCs/>
        </w:rPr>
        <w:t xml:space="preserve">07</w:t>
      </w:r>
      <w:r>
        <w:t xml:space="preserve"> </w:t>
      </w:r>
      <w:r>
        <w:t xml:space="preserve">(plain-language overview), then</w:t>
      </w:r>
      <w:r>
        <w:t xml:space="preserve"> </w:t>
      </w:r>
      <w:r>
        <w:rPr>
          <w:b/>
          <w:bCs/>
        </w:rPr>
        <w:t xml:space="preserve">05</w:t>
      </w:r>
      <w:r>
        <w:t xml:space="preserve"> </w:t>
      </w:r>
      <w:r>
        <w:t xml:space="preserve">(the report).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08</w:t>
      </w:r>
      <w:r>
        <w:t xml:space="preserve"> </w:t>
      </w:r>
      <w:r>
        <w:t xml:space="preserve">for answering questions.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01</w:t>
      </w:r>
      <w:r>
        <w:t xml:space="preserve">–</w:t>
      </w:r>
      <w:r>
        <w:rPr>
          <w:b/>
          <w:bCs/>
        </w:rPr>
        <w:t xml:space="preserve">04</w:t>
      </w:r>
      <w:r>
        <w:t xml:space="preserve"> </w:t>
      </w:r>
      <w:r>
        <w:t xml:space="preserve">for the detailed analysis behind the report.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01_dataset_report.md" TargetMode="External" /><Relationship Type="http://schemas.openxmlformats.org/officeDocument/2006/relationships/hyperlink" Id="rId16" Target="02_literature_review.md" TargetMode="External" /><Relationship Type="http://schemas.openxmlformats.org/officeDocument/2006/relationships/hyperlink" Id="rId17" Target="03_objectives_and_gaps.md" TargetMode="External" /><Relationship Type="http://schemas.openxmlformats.org/officeDocument/2006/relationships/hyperlink" Id="rId18" Target="04_methodology_and_plan.md" TargetMode="External" /><Relationship Type="http://schemas.openxmlformats.org/officeDocument/2006/relationships/hyperlink" Id="rId9" Target="05_midsem_report.md" TargetMode="External" /><Relationship Type="http://schemas.openxmlformats.org/officeDocument/2006/relationships/hyperlink" Id="rId10" Target="06_presentation.md" TargetMode="External" /><Relationship Type="http://schemas.openxmlformats.org/officeDocument/2006/relationships/hyperlink" Id="rId12" Target="07_what_we_are_doing.md" TargetMode="External" /><Relationship Type="http://schemas.openxmlformats.org/officeDocument/2006/relationships/hyperlink" Id="rId13" Target="08_viva_qa_pre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01_dataset_report.md" TargetMode="External" /><Relationship Type="http://schemas.openxmlformats.org/officeDocument/2006/relationships/hyperlink" Id="rId16" Target="02_literature_review.md" TargetMode="External" /><Relationship Type="http://schemas.openxmlformats.org/officeDocument/2006/relationships/hyperlink" Id="rId17" Target="03_objectives_and_gaps.md" TargetMode="External" /><Relationship Type="http://schemas.openxmlformats.org/officeDocument/2006/relationships/hyperlink" Id="rId18" Target="04_methodology_and_plan.md" TargetMode="External" /><Relationship Type="http://schemas.openxmlformats.org/officeDocument/2006/relationships/hyperlink" Id="rId9" Target="05_midsem_report.md" TargetMode="External" /><Relationship Type="http://schemas.openxmlformats.org/officeDocument/2006/relationships/hyperlink" Id="rId10" Target="06_presentation.md" TargetMode="External" /><Relationship Type="http://schemas.openxmlformats.org/officeDocument/2006/relationships/hyperlink" Id="rId12" Target="07_what_we_are_doing.md" TargetMode="External" /><Relationship Type="http://schemas.openxmlformats.org/officeDocument/2006/relationships/hyperlink" Id="rId13" Target="08_viva_qa_pre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2026-09-28T09:08:23Z</dcterms:created>
  <dcterms:modified xsi:type="dcterms:W3CDTF">2026-09-28T09:08:23Z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