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0A1128"/>
          <w:sz w:val="40"/>
          <w:szCs w:val="40"/>
        </w:rPr>
        <w:t xml:space="preserve">BELLE TROUVÉ</w:t>
      </w:r>
    </w:p>
    <w:p>
      <w:pPr>
        <w:spacing w:after="80" w:before="0"/>
        <w:jc w:val="center"/>
      </w:pPr>
      <w:r>
        <w:rPr>
          <w:rFonts w:ascii="Arial" w:cs="Arial" w:eastAsia="Arial" w:hAnsi="Arial"/>
          <w:color w:val="C9A043"/>
          <w:sz w:val="24"/>
          <w:szCs w:val="24"/>
        </w:rPr>
        <w:t xml:space="preserve">Session Report  •  iOS Development — Session 24</w:t>
      </w:r>
    </w:p>
    <w:p>
      <w:pPr>
        <w:spacing w:after="400" w:before="0"/>
        <w:jc w:val="center"/>
      </w:pPr>
      <w:r>
        <w:rPr>
          <w:rFonts w:ascii="Arial" w:cs="Arial" w:eastAsia="Arial" w:hAnsi="Arial"/>
          <w:color w:val="666666"/>
          <w:sz w:val="20"/>
          <w:szCs w:val="20"/>
        </w:rPr>
        <w:t xml:space="preserve">Date: June 16, 2026  |  Location: MacBook Air (Library)</w:t>
      </w:r>
    </w:p>
    <w:p>
      <w:pPr>
        <w:pStyle w:val="Heading1"/>
        <w:spacing w:after="160" w:before="320"/>
      </w:pPr>
      <w:r>
        <w:rPr>
          <w:rFonts w:ascii="Arial" w:cs="Arial" w:eastAsia="Arial" w:hAnsi="Arial"/>
          <w:b/>
          <w:bCs/>
          <w:color w:val="0A1128"/>
          <w:sz w:val="28"/>
          <w:szCs w:val="28"/>
        </w:rPr>
        <w:t xml:space="preserve">Part 1: Work Completed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0A1128" w:sz="1"/>
              <w:left w:val="single" w:color="0A1128" w:sz="1"/>
              <w:bottom w:val="single" w:color="0A1128" w:sz="1"/>
              <w:right w:val="single" w:color="0A1128" w:sz="1"/>
            </w:tcBorders>
            <w:shd w:fill="0A1128" w:val="clear"/>
            <w:tcMar>
              <w:top w:type="dxa" w:w="80"/>
              <w:left w:type="dxa" w:w="120"/>
              <w:bottom w:type="dxa" w:w="80"/>
              <w:right w:type="dxa" w:w="120"/>
            </w:tcMar>
          </w:tcPr>
          <w:p>
            <w:r>
              <w:rPr>
                <w:rFonts w:ascii="Arial" w:cs="Arial" w:eastAsia="Arial" w:hAnsi="Arial"/>
                <w:b/>
                <w:bCs/>
                <w:color w:val="F5EDD6"/>
                <w:sz w:val="20"/>
                <w:szCs w:val="20"/>
              </w:rPr>
              <w:t xml:space="preserve">Item</w:t>
            </w:r>
          </w:p>
        </w:tc>
        <w:tc>
          <w:tcPr>
            <w:tcW w:type="dxa" w:w="5000"/>
            <w:tcBorders>
              <w:top w:val="single" w:color="0A1128" w:sz="1"/>
              <w:left w:val="single" w:color="0A1128" w:sz="1"/>
              <w:bottom w:val="single" w:color="0A1128" w:sz="1"/>
              <w:right w:val="single" w:color="0A1128" w:sz="1"/>
            </w:tcBorders>
            <w:shd w:fill="0A1128" w:val="clear"/>
            <w:tcMar>
              <w:top w:type="dxa" w:w="80"/>
              <w:left w:type="dxa" w:w="120"/>
              <w:bottom w:type="dxa" w:w="80"/>
              <w:right w:type="dxa" w:w="120"/>
            </w:tcMar>
          </w:tcPr>
          <w:p>
            <w:r>
              <w:rPr>
                <w:rFonts w:ascii="Arial" w:cs="Arial" w:eastAsia="Arial" w:hAnsi="Arial"/>
                <w:b/>
                <w:bCs/>
                <w:color w:val="F5EDD6"/>
                <w:sz w:val="20"/>
                <w:szCs w:val="20"/>
              </w:rPr>
              <w:t xml:space="preserve">Description</w:t>
            </w:r>
          </w:p>
        </w:tc>
        <w:tc>
          <w:tcPr>
            <w:tcW w:type="dxa" w:w="2160"/>
            <w:tcBorders>
              <w:top w:val="single" w:color="0A1128" w:sz="1"/>
              <w:left w:val="single" w:color="0A1128" w:sz="1"/>
              <w:bottom w:val="single" w:color="0A1128" w:sz="1"/>
              <w:right w:val="single" w:color="0A1128" w:sz="1"/>
            </w:tcBorders>
            <w:shd w:fill="0A1128" w:val="clear"/>
            <w:tcMar>
              <w:top w:type="dxa" w:w="80"/>
              <w:left w:type="dxa" w:w="120"/>
              <w:bottom w:type="dxa" w:w="80"/>
              <w:right w:type="dxa" w:w="120"/>
            </w:tcMar>
          </w:tcPr>
          <w:p>
            <w:r>
              <w:rPr>
                <w:rFonts w:ascii="Arial" w:cs="Arial" w:eastAsia="Arial" w:hAnsi="Arial"/>
                <w:b/>
                <w:bCs/>
                <w:color w:val="F5EDD6"/>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Split index.ts into per-platform functions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fetchInstagram, fetchTikTok, fetchPinterest each get own 540s window; staggered schedules (7:00, 7:30, 8:00am UTC); legacy manualFetch preserved for backward compatibility</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TikTok image CDN fix</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TikTok CDN blocks server-side image downloads; gemini.ts updated to use caption-only extraction for TikTok (no image). Instagram falls back to caption-only if download fails</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Firestore WriteBatch bug fix</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writer.ts was reusing committed batch object when item count exceeded 499. Fixed by creating new batch instance after each commit</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Expiry window extended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normalizer.ts EXPIRY_HOURS increased from 48 to 168 (7 days). Previous 48hr window caused content gaps since pipeline runs every 48hrs</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Composite Firestore index</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 composite index: platform (Asc) + isActive (Asc) + fetchedAt (Desc). Required for platform-filtered queries in Browse and Home screens</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Balanced multi-platform feed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FirestoreService.swift startListening() rebuilt to fire 3 parallel queries (100 items each per platform), then shuffle and merge results. Guarantees Instagram, TikTok, and Pinterest all appear on Home screen immediately</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feedListeners array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FirestoreService feedListener (single) replaced with feedListeners array to properly manage 3 simultaneous platform listeners; stopListening() removes all</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Bundle ID / GoogleService-Info investigation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Confirmed app bundle ID (com.christian.chicvivo) matches plist. Single Firebase project (chic-vivo). Warning is cosmetic only — Firebase connects correctly</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Complete</w:t>
            </w:r>
          </w:p>
        </w:tc>
      </w:tr>
    </w:tbl>
    <w:p>
      <w:pPr>
        <w:spacing w:after="0" w:before="200"/>
      </w:pPr>
    </w:p>
    <w:p>
      <w:pPr>
        <w:pStyle w:val="Heading1"/>
        <w:spacing w:after="160" w:before="320"/>
      </w:pPr>
      <w:r>
        <w:rPr>
          <w:rFonts w:ascii="Arial" w:cs="Arial" w:eastAsia="Arial" w:hAnsi="Arial"/>
          <w:b/>
          <w:bCs/>
          <w:color w:val="0A1128"/>
          <w:sz w:val="28"/>
          <w:szCs w:val="28"/>
        </w:rPr>
        <w:t xml:space="preserve">Part 2: Architecture Decisions</w:t>
      </w:r>
    </w:p>
    <w:p>
      <w:pPr>
        <w:pStyle w:val="Heading2"/>
        <w:spacing w:after="120" w:before="240"/>
      </w:pPr>
      <w:r>
        <w:rPr>
          <w:rFonts w:ascii="Arial" w:cs="Arial" w:eastAsia="Arial" w:hAnsi="Arial"/>
          <w:b/>
          <w:bCs/>
          <w:color w:val="0A1128"/>
          <w:sz w:val="24"/>
          <w:szCs w:val="24"/>
        </w:rPr>
        <w:t xml:space="preserve">2.1  Per-Platform Cloud Functions</w:t>
      </w:r>
    </w:p>
    <w:p>
      <w:pPr>
        <w:spacing w:after="80" w:before="80"/>
      </w:pPr>
      <w:r>
        <w:rPr>
          <w:rFonts w:ascii="Arial" w:cs="Arial" w:eastAsia="Arial" w:hAnsi="Arial"/>
          <w:sz w:val="20"/>
          <w:szCs w:val="20"/>
        </w:rPr>
        <w:t xml:space="preserve">The original single fetchFashionContent function ran all three platforms sequentially within a shared 540-second timeout window. Instagram consumed the full window during hashtag fetching and Gemini processing, leaving TikTok and Pinterest with no execution time. The fix splits each platform into its own independent Cloud Function with its own 540-second budget:</w:t>
      </w:r>
    </w:p>
    <w:p>
      <w:pPr>
        <w:pStyle w:val="ListParagraph"/>
        <w:numPr>
          <w:ilvl w:val="0"/>
          <w:numId w:val="2"/>
        </w:numPr>
        <w:spacing w:after="60" w:before="60"/>
      </w:pPr>
      <w:r>
        <w:rPr>
          <w:rFonts w:ascii="Arial" w:cs="Arial" w:eastAsia="Arial" w:hAnsi="Arial"/>
          <w:sz w:val="20"/>
          <w:szCs w:val="20"/>
        </w:rPr>
        <w:t xml:space="preserve">fetchInstagram / manualFetchInstagram — scheduled 7:00am UTC every 2 days</w:t>
      </w:r>
    </w:p>
    <w:p>
      <w:pPr>
        <w:pStyle w:val="ListParagraph"/>
        <w:numPr>
          <w:ilvl w:val="0"/>
          <w:numId w:val="2"/>
        </w:numPr>
        <w:spacing w:after="60" w:before="60"/>
      </w:pPr>
      <w:r>
        <w:rPr>
          <w:rFonts w:ascii="Arial" w:cs="Arial" w:eastAsia="Arial" w:hAnsi="Arial"/>
          <w:sz w:val="20"/>
          <w:szCs w:val="20"/>
        </w:rPr>
        <w:t xml:space="preserve">fetchTikTok / manualFetchTikTok — scheduled 7:30am UTC every 2 days</w:t>
      </w:r>
    </w:p>
    <w:p>
      <w:pPr>
        <w:pStyle w:val="ListParagraph"/>
        <w:numPr>
          <w:ilvl w:val="0"/>
          <w:numId w:val="2"/>
        </w:numPr>
        <w:spacing w:after="60" w:before="60"/>
      </w:pPr>
      <w:r>
        <w:rPr>
          <w:rFonts w:ascii="Arial" w:cs="Arial" w:eastAsia="Arial" w:hAnsi="Arial"/>
          <w:sz w:val="20"/>
          <w:szCs w:val="20"/>
        </w:rPr>
        <w:t xml:space="preserve">fetchPinterest / manualFetchPinterest — scheduled 8:00am UTC every 2 days</w:t>
      </w:r>
    </w:p>
    <w:p>
      <w:pPr>
        <w:pStyle w:val="ListParagraph"/>
        <w:numPr>
          <w:ilvl w:val="0"/>
          <w:numId w:val="2"/>
        </w:numPr>
        <w:spacing w:after="60" w:before="60"/>
      </w:pPr>
      <w:r>
        <w:rPr>
          <w:rFonts w:ascii="Arial" w:cs="Arial" w:eastAsia="Arial" w:hAnsi="Arial"/>
          <w:sz w:val="20"/>
          <w:szCs w:val="20"/>
        </w:rPr>
        <w:t xml:space="preserve">expireOldItems / manualExpire — scheduled 9:00am UTC every 2 days</w:t>
      </w:r>
    </w:p>
    <w:p>
      <w:pPr>
        <w:pStyle w:val="ListParagraph"/>
        <w:numPr>
          <w:ilvl w:val="0"/>
          <w:numId w:val="2"/>
        </w:numPr>
        <w:spacing w:after="60" w:before="60"/>
      </w:pPr>
      <w:r>
        <w:rPr>
          <w:rFonts w:ascii="Arial" w:cs="Arial" w:eastAsia="Arial" w:hAnsi="Arial"/>
          <w:sz w:val="20"/>
          <w:szCs w:val="20"/>
        </w:rPr>
        <w:t xml:space="preserve">Legacy manualFetch preserved — now runs Instagram only with a deprecation note</w:t>
      </w:r>
    </w:p>
    <w:p>
      <w:pPr>
        <w:spacing w:after="0" w:before="100"/>
      </w:pPr>
    </w:p>
    <w:p>
      <w:pPr>
        <w:pStyle w:val="Heading2"/>
        <w:spacing w:after="120" w:before="240"/>
      </w:pPr>
      <w:r>
        <w:rPr>
          <w:rFonts w:ascii="Arial" w:cs="Arial" w:eastAsia="Arial" w:hAnsi="Arial"/>
          <w:b/>
          <w:bCs/>
          <w:color w:val="0A1128"/>
          <w:sz w:val="24"/>
          <w:szCs w:val="24"/>
        </w:rPr>
        <w:t xml:space="preserve">2.2  TikTok CDN Image Access</w:t>
      </w:r>
    </w:p>
    <w:p>
      <w:pPr>
        <w:spacing w:after="80" w:before="80"/>
      </w:pPr>
      <w:r>
        <w:rPr>
          <w:rFonts w:ascii="Arial" w:cs="Arial" w:eastAsia="Arial" w:hAnsi="Arial"/>
          <w:sz w:val="20"/>
          <w:szCs w:val="20"/>
        </w:rPr>
        <w:t xml:space="preserve">TikTok's CDN (tiktokcdn-eu.com) uses signed, expiring URLs that block server-side requests from Google Cloud infrastructure. Both direct Vertex AI URL access and Axios-based image downloads fail with timeout errors. The solution: skip image downloading for TikTok entirely and pass caption text only to Gemini. Caption-only extraction still yields accurate category, title, brand, and trend tag data. TikTok posts with no caption are skipped. Instagram retains image download with caption-only fallback if the download fails.</w:t>
      </w:r>
    </w:p>
    <w:p>
      <w:pPr>
        <w:spacing w:after="0" w:before="100"/>
      </w:pPr>
    </w:p>
    <w:p>
      <w:pPr>
        <w:pStyle w:val="Heading2"/>
        <w:spacing w:after="120" w:before="240"/>
      </w:pPr>
      <w:r>
        <w:rPr>
          <w:rFonts w:ascii="Arial" w:cs="Arial" w:eastAsia="Arial" w:hAnsi="Arial"/>
          <w:b/>
          <w:bCs/>
          <w:color w:val="0A1128"/>
          <w:sz w:val="24"/>
          <w:szCs w:val="24"/>
        </w:rPr>
        <w:t xml:space="preserve">2.3  Firestore WriteBatch Fix</w:t>
      </w:r>
    </w:p>
    <w:p>
      <w:pPr>
        <w:spacing w:after="80" w:before="80"/>
      </w:pPr>
      <w:r>
        <w:rPr>
          <w:rFonts w:ascii="Arial" w:cs="Arial" w:eastAsia="Arial" w:hAnsi="Arial"/>
          <w:sz w:val="20"/>
          <w:szCs w:val="20"/>
        </w:rPr>
        <w:t xml:space="preserve">The writer.ts writeFeedItems function used a single const batch object and called batch.commit() at the 499-item boundary, then continued adding items to the same committed batch — an illegal operation in Firestore. The fix uses let batch and reassigns to a new db.batch() instance after each commit, with a separate batchCount tracker independent of the total item count.</w:t>
      </w:r>
    </w:p>
    <w:p>
      <w:pPr>
        <w:spacing w:after="0" w:before="100"/>
      </w:pPr>
    </w:p>
    <w:p>
      <w:pPr>
        <w:pStyle w:val="Heading2"/>
        <w:spacing w:after="120" w:before="240"/>
      </w:pPr>
      <w:r>
        <w:rPr>
          <w:rFonts w:ascii="Arial" w:cs="Arial" w:eastAsia="Arial" w:hAnsi="Arial"/>
          <w:b/>
          <w:bCs/>
          <w:color w:val="0A1128"/>
          <w:sz w:val="24"/>
          <w:szCs w:val="24"/>
        </w:rPr>
        <w:t xml:space="preserve">2.4  Content Expiry Window</w:t>
      </w:r>
    </w:p>
    <w:p>
      <w:pPr>
        <w:spacing w:after="80" w:before="80"/>
      </w:pPr>
      <w:r>
        <w:rPr>
          <w:rFonts w:ascii="Arial" w:cs="Arial" w:eastAsia="Arial" w:hAnsi="Arial"/>
          <w:sz w:val="20"/>
          <w:szCs w:val="20"/>
        </w:rPr>
        <w:t xml:space="preserve">normalizer.ts EXPIRY_HOURS was set to 48, matching the pipeline run interval exactly. Any delay or execution variance caused a gap where all content expired before the next run wrote fresh items. Extended to 168 hours (7 days) to provide a wide safety buffer. All three platforms were re-fetched manually after the fix to populate Firestore with fresh 7-day items.</w:t>
      </w:r>
    </w:p>
    <w:p>
      <w:pPr>
        <w:spacing w:after="0" w:before="100"/>
      </w:pPr>
    </w:p>
    <w:p>
      <w:pPr>
        <w:pStyle w:val="Heading2"/>
        <w:spacing w:after="120" w:before="240"/>
      </w:pPr>
      <w:r>
        <w:rPr>
          <w:rFonts w:ascii="Arial" w:cs="Arial" w:eastAsia="Arial" w:hAnsi="Arial"/>
          <w:b/>
          <w:bCs/>
          <w:color w:val="0A1128"/>
          <w:sz w:val="24"/>
          <w:szCs w:val="24"/>
        </w:rPr>
        <w:t xml:space="preserve">2.5  Composite Firestore Index</w:t>
      </w:r>
    </w:p>
    <w:p>
      <w:pPr>
        <w:spacing w:after="80" w:before="80"/>
      </w:pPr>
      <w:r>
        <w:rPr>
          <w:rFonts w:ascii="Arial" w:cs="Arial" w:eastAsia="Arial" w:hAnsi="Arial"/>
          <w:sz w:val="20"/>
          <w:szCs w:val="20"/>
        </w:rPr>
        <w:t xml:space="preserve">The platform-filtered query (isActive == true + platform == X + orderBy fetchedAt desc) requires a composite index not auto-created by Firestore. Without it, platform filter queries fail silently on device and return zero results. Index created manually in Firebase Console:</w:t>
      </w:r>
    </w:p>
    <w:p>
      <w:pPr>
        <w:pStyle w:val="ListParagraph"/>
        <w:numPr>
          <w:ilvl w:val="0"/>
          <w:numId w:val="2"/>
        </w:numPr>
        <w:spacing w:after="60" w:before="60"/>
      </w:pPr>
      <w:r>
        <w:rPr>
          <w:rFonts w:ascii="Arial" w:cs="Arial" w:eastAsia="Arial" w:hAnsi="Arial"/>
          <w:sz w:val="20"/>
          <w:szCs w:val="20"/>
        </w:rPr>
        <w:t xml:space="preserve">Collection: feed_items</w:t>
      </w:r>
    </w:p>
    <w:p>
      <w:pPr>
        <w:pStyle w:val="ListParagraph"/>
        <w:numPr>
          <w:ilvl w:val="0"/>
          <w:numId w:val="2"/>
        </w:numPr>
        <w:spacing w:after="60" w:before="60"/>
      </w:pPr>
      <w:r>
        <w:rPr>
          <w:rFonts w:ascii="Arial" w:cs="Arial" w:eastAsia="Arial" w:hAnsi="Arial"/>
          <w:sz w:val="20"/>
          <w:szCs w:val="20"/>
        </w:rPr>
        <w:t xml:space="preserve">Fields: platform (Ascending), isActive (Ascending), fetchedAt (Descending)</w:t>
      </w:r>
    </w:p>
    <w:p>
      <w:pPr>
        <w:pStyle w:val="ListParagraph"/>
        <w:numPr>
          <w:ilvl w:val="0"/>
          <w:numId w:val="2"/>
        </w:numPr>
        <w:spacing w:after="60" w:before="60"/>
      </w:pPr>
      <w:r>
        <w:rPr>
          <w:rFonts w:ascii="Arial" w:cs="Arial" w:eastAsia="Arial" w:hAnsi="Arial"/>
          <w:sz w:val="20"/>
          <w:szCs w:val="20"/>
        </w:rPr>
        <w:t xml:space="preserve">Scope: Collection</w:t>
      </w:r>
    </w:p>
    <w:p>
      <w:pPr>
        <w:spacing w:after="80" w:before="80"/>
      </w:pPr>
      <w:r>
        <w:rPr>
          <w:rFonts w:ascii="Arial" w:cs="Arial" w:eastAsia="Arial" w:hAnsi="Arial"/>
          <w:sz w:val="20"/>
          <w:szCs w:val="20"/>
        </w:rPr>
        <w:t xml:space="preserve">This index covers all three platform values — no separate index needed per platform.</w:t>
      </w:r>
    </w:p>
    <w:p>
      <w:pPr>
        <w:spacing w:after="0" w:before="100"/>
      </w:pPr>
    </w:p>
    <w:p>
      <w:pPr>
        <w:pStyle w:val="Heading2"/>
        <w:spacing w:after="120" w:before="240"/>
      </w:pPr>
      <w:r>
        <w:rPr>
          <w:rFonts w:ascii="Arial" w:cs="Arial" w:eastAsia="Arial" w:hAnsi="Arial"/>
          <w:b/>
          <w:bCs/>
          <w:color w:val="0A1128"/>
          <w:sz w:val="24"/>
          <w:szCs w:val="24"/>
        </w:rPr>
        <w:t xml:space="preserve">2.6  Balanced Multi-Platform Feed</w:t>
      </w:r>
    </w:p>
    <w:p>
      <w:pPr>
        <w:spacing w:after="80" w:before="80"/>
      </w:pPr>
      <w:r>
        <w:rPr>
          <w:rFonts w:ascii="Arial" w:cs="Arial" w:eastAsia="Arial" w:hAnsi="Arial"/>
          <w:sz w:val="20"/>
          <w:szCs w:val="20"/>
        </w:rPr>
        <w:t xml:space="preserve">The original startListening() fetched the 300 most recent items across all platforms ordered by fetchedAt. Because all platforms write simultaneously, whichever ran last filled all 300 slots with its own content. The fix fires three parallel Firestore queries — one per platform, 100 items each — and shuffles the merged results:</w:t>
      </w:r>
    </w:p>
    <w:p>
      <w:pPr>
        <w:pStyle w:val="ListParagraph"/>
        <w:numPr>
          <w:ilvl w:val="0"/>
          <w:numId w:val="2"/>
        </w:numPr>
        <w:spacing w:after="60" w:before="60"/>
      </w:pPr>
      <w:r>
        <w:rPr>
          <w:rFonts w:ascii="Arial" w:cs="Arial" w:eastAsia="Arial" w:hAnsi="Arial"/>
          <w:sz w:val="20"/>
          <w:szCs w:val="20"/>
        </w:rPr>
        <w:t xml:space="preserve">Total Firestore reads: 300 (same cost as before)</w:t>
      </w:r>
    </w:p>
    <w:p>
      <w:pPr>
        <w:pStyle w:val="ListParagraph"/>
        <w:numPr>
          <w:ilvl w:val="0"/>
          <w:numId w:val="2"/>
        </w:numPr>
        <w:spacing w:after="60" w:before="60"/>
      </w:pPr>
      <w:r>
        <w:rPr>
          <w:rFonts w:ascii="Arial" w:cs="Arial" w:eastAsia="Arial" w:hAnsi="Arial"/>
          <w:sz w:val="20"/>
          <w:szCs w:val="20"/>
        </w:rPr>
        <w:t xml:space="preserve">Guaranteed platform distribution: ~100 items per platform</w:t>
      </w:r>
    </w:p>
    <w:p>
      <w:pPr>
        <w:pStyle w:val="ListParagraph"/>
        <w:numPr>
          <w:ilvl w:val="0"/>
          <w:numId w:val="2"/>
        </w:numPr>
        <w:spacing w:after="60" w:before="60"/>
      </w:pPr>
      <w:r>
        <w:rPr>
          <w:rFonts w:ascii="Arial" w:cs="Arial" w:eastAsia="Arial" w:hAnsi="Arial"/>
          <w:sz w:val="20"/>
          <w:szCs w:val="20"/>
        </w:rPr>
        <w:t xml:space="preserve">Shuffled on merge: user sees all three platforms immediately on scroll</w:t>
      </w:r>
    </w:p>
    <w:p>
      <w:pPr>
        <w:pStyle w:val="ListParagraph"/>
        <w:numPr>
          <w:ilvl w:val="0"/>
          <w:numId w:val="2"/>
        </w:numPr>
        <w:spacing w:after="60" w:before="60"/>
      </w:pPr>
      <w:r>
        <w:rPr>
          <w:rFonts w:ascii="Arial" w:cs="Arial" w:eastAsia="Arial" w:hAnsi="Arial"/>
          <w:sz w:val="20"/>
          <w:szCs w:val="20"/>
        </w:rPr>
        <w:t xml:space="preserve">feedListener (single) replaced with feedListeners array; stopListening() removes all three</w:t>
      </w:r>
    </w:p>
    <w:p>
      <w:pPr>
        <w:pStyle w:val="ListParagraph"/>
        <w:numPr>
          <w:ilvl w:val="0"/>
          <w:numId w:val="2"/>
        </w:numPr>
        <w:spacing w:after="60" w:before="60"/>
      </w:pPr>
      <w:r>
        <w:rPr>
          <w:rFonts w:ascii="Arial" w:cs="Arial" w:eastAsia="Arial" w:hAnsi="Arial"/>
          <w:sz w:val="20"/>
          <w:szCs w:val="20"/>
        </w:rPr>
        <w:t xml:space="preserve">startListening(platform:) unchanged — Browse screen platform filter unaffected</w:t>
      </w:r>
    </w:p>
    <w:p>
      <w:pPr>
        <w:spacing w:after="0" w:before="200"/>
      </w:pPr>
    </w:p>
    <w:p>
      <w:pPr>
        <w:pStyle w:val="Heading1"/>
        <w:spacing w:after="160" w:before="320"/>
      </w:pPr>
      <w:r>
        <w:rPr>
          <w:rFonts w:ascii="Arial" w:cs="Arial" w:eastAsia="Arial" w:hAnsi="Arial"/>
          <w:b/>
          <w:bCs/>
          <w:color w:val="0A1128"/>
          <w:sz w:val="28"/>
          <w:szCs w:val="28"/>
        </w:rPr>
        <w:t xml:space="preserve">Part 3: Session 25 Priorities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500"/>
        <w:gridCol w:w="6380"/>
      </w:tblGrid>
      <w:tr>
        <w:trPr>
          <w:tblHeader/>
        </w:trPr>
        <w:tc>
          <w:tcPr>
            <w:tcW w:type="dxa" w:w="480"/>
            <w:tcBorders>
              <w:top w:val="single" w:color="0A1128" w:sz="1"/>
              <w:left w:val="single" w:color="0A1128" w:sz="1"/>
              <w:bottom w:val="single" w:color="0A1128" w:sz="1"/>
              <w:right w:val="single" w:color="0A1128" w:sz="1"/>
            </w:tcBorders>
            <w:shd w:fill="0A1128" w:val="clear"/>
            <w:tcMar>
              <w:top w:type="dxa" w:w="80"/>
              <w:left w:type="dxa" w:w="120"/>
              <w:bottom w:type="dxa" w:w="80"/>
              <w:right w:type="dxa" w:w="120"/>
            </w:tcMar>
          </w:tcPr>
          <w:p>
            <w:r>
              <w:rPr>
                <w:rFonts w:ascii="Arial" w:cs="Arial" w:eastAsia="Arial" w:hAnsi="Arial"/>
                <w:b/>
                <w:bCs/>
                <w:color w:val="F5EDD6"/>
                <w:sz w:val="20"/>
                <w:szCs w:val="20"/>
              </w:rPr>
              <w:t xml:space="preserve">#</w:t>
            </w:r>
          </w:p>
        </w:tc>
        <w:tc>
          <w:tcPr>
            <w:tcW w:type="dxa" w:w="2500"/>
            <w:tcBorders>
              <w:top w:val="single" w:color="0A1128" w:sz="1"/>
              <w:left w:val="single" w:color="0A1128" w:sz="1"/>
              <w:bottom w:val="single" w:color="0A1128" w:sz="1"/>
              <w:right w:val="single" w:color="0A1128" w:sz="1"/>
            </w:tcBorders>
            <w:shd w:fill="0A1128" w:val="clear"/>
            <w:tcMar>
              <w:top w:type="dxa" w:w="80"/>
              <w:left w:type="dxa" w:w="120"/>
              <w:bottom w:type="dxa" w:w="80"/>
              <w:right w:type="dxa" w:w="120"/>
            </w:tcMar>
          </w:tcPr>
          <w:p>
            <w:r>
              <w:rPr>
                <w:rFonts w:ascii="Arial" w:cs="Arial" w:eastAsia="Arial" w:hAnsi="Arial"/>
                <w:b/>
                <w:bCs/>
                <w:color w:val="F5EDD6"/>
                <w:sz w:val="20"/>
                <w:szCs w:val="20"/>
              </w:rPr>
              <w:t xml:space="preserve">Task</w:t>
            </w:r>
          </w:p>
        </w:tc>
        <w:tc>
          <w:tcPr>
            <w:tcW w:type="dxa" w:w="6380"/>
            <w:tcBorders>
              <w:top w:val="single" w:color="0A1128" w:sz="1"/>
              <w:left w:val="single" w:color="0A1128" w:sz="1"/>
              <w:bottom w:val="single" w:color="0A1128" w:sz="1"/>
              <w:right w:val="single" w:color="0A1128" w:sz="1"/>
            </w:tcBorders>
            <w:shd w:fill="0A1128" w:val="clear"/>
            <w:tcMar>
              <w:top w:type="dxa" w:w="80"/>
              <w:left w:type="dxa" w:w="120"/>
              <w:bottom w:type="dxa" w:w="80"/>
              <w:right w:type="dxa" w:w="120"/>
            </w:tcMar>
          </w:tcPr>
          <w:p>
            <w:r>
              <w:rPr>
                <w:rFonts w:ascii="Arial" w:cs="Arial" w:eastAsia="Arial" w:hAnsi="Arial"/>
                <w:b/>
                <w:bCs/>
                <w:color w:val="F5EDD6"/>
                <w:sz w:val="20"/>
                <w:szCs w:val="20"/>
              </w:rPr>
              <w:t xml:space="preserve">Notes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Virtual Try-On screen</w:t>
            </w:r>
          </w:p>
        </w:tc>
        <w:tc>
          <w:tcPr>
            <w:tcW w:type="dxa" w:w="6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Wire VirtualTryOnView to live data; implement ARKit camera flow</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BrowseView search bar</w:t>
            </w:r>
          </w:p>
        </w:tc>
        <w:tc>
          <w:tcPr>
            <w:tcW w:type="dxa" w:w="6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Wire search bar to SearchView</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Simulator recording</w:t>
            </w:r>
          </w:p>
        </w:tc>
        <w:tc>
          <w:tcPr>
            <w:tcW w:type="dxa" w:w="6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 app walkthrough in iOS Simulator for demo/pitch use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Retailer affiliate network signup</w:t>
            </w:r>
          </w:p>
        </w:tc>
        <w:tc>
          <w:tcPr>
            <w:tcW w:type="dxa" w:w="6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Apply to RewardStyle (LTK) and/or ShopStyle; process takes 2-6 weeks — start now</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Heart icon on cards</w:t>
            </w:r>
          </w:p>
        </w:tc>
        <w:tc>
          <w:tcPr>
            <w:tcW w:type="dxa" w:w="6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 UX decision: keep removed or add back in a visible size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RawTikTokPost types.ts</w:t>
            </w:r>
          </w:p>
        </w:tc>
        <w:tc>
          <w:tcPr>
            <w:tcW w:type="dxa" w:w="6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Post-launch cleanup — TikTok type definitions need updating</w:t>
            </w:r>
          </w:p>
        </w:tc>
      </w:tr>
    </w:tbl>
    <w:p>
      <w:pPr>
        <w:spacing w:after="0" w:before="200"/>
      </w:pPr>
    </w:p>
    <w:p>
      <w:pPr>
        <w:pStyle w:val="Heading1"/>
        <w:spacing w:after="160" w:before="320"/>
      </w:pPr>
      <w:r>
        <w:rPr>
          <w:rFonts w:ascii="Arial" w:cs="Arial" w:eastAsia="Arial" w:hAnsi="Arial"/>
          <w:b/>
          <w:bCs/>
          <w:color w:val="0A1128"/>
          <w:sz w:val="28"/>
          <w:szCs w:val="28"/>
        </w:rPr>
        <w:t xml:space="preserve">Part 4: Git State</w:t>
      </w:r>
    </w:p>
    <w:p>
      <w:pPr>
        <w:pStyle w:val="ListParagraph"/>
        <w:numPr>
          <w:ilvl w:val="0"/>
          <w:numId w:val="2"/>
        </w:numPr>
        <w:spacing w:after="60" w:before="60"/>
      </w:pPr>
      <w:r>
        <w:rPr>
          <w:rFonts w:ascii="Arial" w:cs="Arial" w:eastAsia="Arial" w:hAnsi="Arial"/>
          <w:sz w:val="20"/>
          <w:szCs w:val="20"/>
        </w:rPr>
        <w:t xml:space="preserve">Active project: /Volumes/Samsung X/Development/Belle Trouve/</w:t>
      </w:r>
    </w:p>
    <w:p>
      <w:pPr>
        <w:pStyle w:val="ListParagraph"/>
        <w:numPr>
          <w:ilvl w:val="0"/>
          <w:numId w:val="2"/>
        </w:numPr>
        <w:spacing w:after="60" w:before="60"/>
      </w:pPr>
      <w:r>
        <w:rPr>
          <w:rFonts w:ascii="Arial" w:cs="Arial" w:eastAsia="Arial" w:hAnsi="Arial"/>
          <w:sz w:val="20"/>
          <w:szCs w:val="20"/>
        </w:rPr>
        <w:t xml:space="preserve">Source of truth: Samsung X external drive</w:t>
      </w:r>
    </w:p>
    <w:p>
      <w:pPr>
        <w:pStyle w:val="ListParagraph"/>
        <w:numPr>
          <w:ilvl w:val="0"/>
          <w:numId w:val="2"/>
        </w:numPr>
        <w:spacing w:after="60" w:before="60"/>
      </w:pPr>
      <w:r>
        <w:rPr>
          <w:rFonts w:ascii="Arial" w:cs="Arial" w:eastAsia="Arial" w:hAnsi="Arial"/>
          <w:sz w:val="20"/>
          <w:szCs w:val="20"/>
        </w:rPr>
        <w:t xml:space="preserve">GitHub remote: https://github.com/xmcp72/belletrouve-ios.git</w:t>
      </w:r>
    </w:p>
    <w:p>
      <w:pPr>
        <w:pStyle w:val="ListParagraph"/>
        <w:numPr>
          <w:ilvl w:val="0"/>
          <w:numId w:val="2"/>
        </w:numPr>
        <w:spacing w:after="60" w:before="60"/>
      </w:pPr>
      <w:r>
        <w:rPr>
          <w:rFonts w:ascii="Arial" w:cs="Arial" w:eastAsia="Arial" w:hAnsi="Arial"/>
          <w:sz w:val="20"/>
          <w:szCs w:val="20"/>
        </w:rPr>
        <w:t xml:space="preserve">Session 24 files committed: index.ts, gemini.ts, writer.ts, normalizer.ts, FirestoreService.swift</w:t>
      </w:r>
    </w:p>
    <w:p>
      <w:pPr>
        <w:spacing w:after="0" w:before="200"/>
      </w:pPr>
    </w:p>
    <w:p>
      <w:pPr>
        <w:pStyle w:val="Heading1"/>
        <w:spacing w:after="160" w:before="320"/>
      </w:pPr>
      <w:r>
        <w:rPr>
          <w:rFonts w:ascii="Arial" w:cs="Arial" w:eastAsia="Arial" w:hAnsi="Arial"/>
          <w:b/>
          <w:bCs/>
          <w:color w:val="0A1128"/>
          <w:sz w:val="28"/>
          <w:szCs w:val="28"/>
        </w:rPr>
        <w:t xml:space="preserve">Part 5: Full Known Issues and Pending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rPr>
          <w:tblHeader/>
        </w:trPr>
        <w:tc>
          <w:tcPr>
            <w:tcW w:type="dxa" w:w="5000"/>
            <w:tcBorders>
              <w:top w:val="single" w:color="0A1128" w:sz="1"/>
              <w:left w:val="single" w:color="0A1128" w:sz="1"/>
              <w:bottom w:val="single" w:color="0A1128" w:sz="1"/>
              <w:right w:val="single" w:color="0A1128" w:sz="1"/>
            </w:tcBorders>
            <w:shd w:fill="0A1128" w:val="clear"/>
            <w:tcMar>
              <w:top w:type="dxa" w:w="80"/>
              <w:left w:type="dxa" w:w="120"/>
              <w:bottom w:type="dxa" w:w="80"/>
              <w:right w:type="dxa" w:w="120"/>
            </w:tcMar>
          </w:tcPr>
          <w:p>
            <w:r>
              <w:rPr>
                <w:rFonts w:ascii="Arial" w:cs="Arial" w:eastAsia="Arial" w:hAnsi="Arial"/>
                <w:b/>
                <w:bCs/>
                <w:color w:val="F5EDD6"/>
                <w:sz w:val="20"/>
                <w:szCs w:val="20"/>
              </w:rPr>
              <w:t xml:space="preserve">Item</w:t>
            </w:r>
          </w:p>
        </w:tc>
        <w:tc>
          <w:tcPr>
            <w:tcW w:type="dxa" w:w="2000"/>
            <w:tcBorders>
              <w:top w:val="single" w:color="0A1128" w:sz="1"/>
              <w:left w:val="single" w:color="0A1128" w:sz="1"/>
              <w:bottom w:val="single" w:color="0A1128" w:sz="1"/>
              <w:right w:val="single" w:color="0A1128" w:sz="1"/>
            </w:tcBorders>
            <w:shd w:fill="0A1128" w:val="clear"/>
            <w:tcMar>
              <w:top w:type="dxa" w:w="80"/>
              <w:left w:type="dxa" w:w="120"/>
              <w:bottom w:type="dxa" w:w="80"/>
              <w:right w:type="dxa" w:w="120"/>
            </w:tcMar>
          </w:tcPr>
          <w:p>
            <w:r>
              <w:rPr>
                <w:rFonts w:ascii="Arial" w:cs="Arial" w:eastAsia="Arial" w:hAnsi="Arial"/>
                <w:b/>
                <w:bCs/>
                <w:color w:val="F5EDD6"/>
                <w:sz w:val="20"/>
                <w:szCs w:val="20"/>
              </w:rPr>
              <w:t xml:space="preserve">Status</w:t>
            </w:r>
          </w:p>
        </w:tc>
        <w:tc>
          <w:tcPr>
            <w:tcW w:type="dxa" w:w="2360"/>
            <w:tcBorders>
              <w:top w:val="single" w:color="0A1128" w:sz="1"/>
              <w:left w:val="single" w:color="0A1128" w:sz="1"/>
              <w:bottom w:val="single" w:color="0A1128" w:sz="1"/>
              <w:right w:val="single" w:color="0A1128" w:sz="1"/>
            </w:tcBorders>
            <w:shd w:fill="0A1128" w:val="clear"/>
            <w:tcMar>
              <w:top w:type="dxa" w:w="80"/>
              <w:left w:type="dxa" w:w="120"/>
              <w:bottom w:type="dxa" w:w="80"/>
              <w:right w:type="dxa" w:w="120"/>
            </w:tcMar>
          </w:tcPr>
          <w:p>
            <w:r>
              <w:rPr>
                <w:rFonts w:ascii="Arial" w:cs="Arial" w:eastAsia="Arial" w:hAnsi="Arial"/>
                <w:b/>
                <w:bCs/>
                <w:color w:val="F5EDD6"/>
                <w:sz w:val="20"/>
                <w:szCs w:val="20"/>
              </w:rPr>
              <w:t xml:space="preserve">Session / Phase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Split index.ts into per-platform functions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24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TikTok/Pinterest not appearing in 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24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Firestore WriteBatch &gt;499 items bug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24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48hr content expiry gap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24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 composite Firestore index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24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Balanced multi-platform Home feed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24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Virtual Try-On screen wired</w:t>
            </w:r>
          </w:p>
        </w:tc>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0"/>
                <w:szCs w:val="20"/>
              </w:rPr>
              <w:t xml:space="preserve">PENDING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25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BrowseView search bar wired to SearchView</w:t>
            </w:r>
          </w:p>
        </w:tc>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0"/>
                <w:szCs w:val="20"/>
              </w:rPr>
              <w:t xml:space="preserve">PENDING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25+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Apple / Google sign-in</w:t>
            </w:r>
          </w:p>
        </w:tc>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DEFERRED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Pre-launch</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RawTikTokPost types.ts</w:t>
            </w:r>
          </w:p>
        </w:tc>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0"/>
                <w:szCs w:val="20"/>
              </w:rPr>
              <w:t xml:space="preserve">PENDING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Post-launch cleanup</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Feed assembly logic (randomize, auto-refresh)</w:t>
            </w:r>
          </w:p>
        </w:tc>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DEFERRED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layer phase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Affiliate URL population + retailer image URLs</w:t>
            </w:r>
          </w:p>
        </w:tc>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sz w:val="20"/>
                <w:szCs w:val="20"/>
              </w:rPr>
              <w:t xml:space="preserve">DEFERRED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layer phase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Attorney consultation (CCPA, GDPR, COPPA, ARKit)</w:t>
            </w:r>
          </w:p>
        </w:tc>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sz w:val="20"/>
                <w:szCs w:val="20"/>
              </w:rPr>
              <w:t xml:space="preserve">PENDING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Pre-launch</w:t>
            </w:r>
          </w:p>
        </w:tc>
      </w:tr>
    </w:tbl>
    <w:p>
      <w:pPr>
        <w:spacing w:after="0" w:before="400"/>
      </w:pPr>
    </w:p>
    <w:p>
      <w:pPr>
        <w:pBdr>
          <w:top w:val="single" w:color="C9A043" w:sz="4" w:space="8"/>
        </w:pBdr>
        <w:spacing w:after="0" w:before="200"/>
        <w:jc w:val="center"/>
      </w:pPr>
      <w:r>
        <w:rPr>
          <w:rFonts w:ascii="Arial" w:cs="Arial" w:eastAsia="Arial" w:hAnsi="Arial"/>
          <w:i/>
          <w:iCs/>
          <w:color w:val="666666"/>
          <w:sz w:val="18"/>
          <w:szCs w:val="18"/>
        </w:rPr>
        <w:t xml:space="preserve">Belle Trouvé  •  Confidential  •  Christian H. Porter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112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A11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2026-06-16T19:13:23.651Z</dcterms:created>
  <dcterms:modified xsi:type="dcterms:W3CDTF">2026-06-16T19:13:23.651Z</dcterms:modified>
</cp:coreProperties>
</file>

<file path=docProps/custom.xml><?xml version="1.0" encoding="utf-8"?>
<Properties xmlns="http://schemas.openxmlformats.org/officeDocument/2006/custom-properties" xmlns:vt="http://schemas.openxmlformats.org/officeDocument/2006/docPropsVTypes"/>
</file>