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Times New Roman" w:hAnsi="Times New Roman" w:eastAsia="黑体"/>
          <w:b/>
          <w:sz w:val="36"/>
        </w:rPr>
        <w:t>基于物联网的智慧农业大棚环境监控系统可行性研究</w:t>
      </w:r>
    </w:p>
    <w:p>
      <w:pPr>
        <w:spacing w:before="120" w:after="80"/>
        <w:jc w:val="center"/>
      </w:pPr>
      <w:r>
        <w:rPr>
          <w:rFonts w:ascii="Times New Roman" w:hAnsi="Times New Roman" w:eastAsia="黑体"/>
          <w:b/>
          <w:sz w:val="24"/>
        </w:rPr>
        <w:t>摘　要</w:t>
      </w:r>
    </w:p>
    <w:p>
      <w:pPr>
        <w:spacing w:line="440" w:lineRule="exact" w:after="120"/>
        <w:ind w:firstLine="420"/>
      </w:pPr>
      <w:r>
        <w:rPr>
          <w:rFonts w:ascii="Times New Roman" w:hAnsi="Times New Roman" w:eastAsia="宋体"/>
          <w:b w:val="0"/>
          <w:sz w:val="24"/>
        </w:rPr>
        <w:t>传统农业大棚环境管理主要依赖人工经验，存在监测手段粗放、调控响应滞后、水资源和能源利用效率低等问题。本文提出一种基于STM32微控制器的智慧农业大棚环境监控系统方案，集成DHT22空气温湿度传感器、YL-69土壤湿度传感器和BH1750光照传感器，实现大棚内空气环境与土壤环境的多维实时感知。系统在本地通过继电器自动控制灌溉水泵、卷帘电机和通风风机，实现环境参数的闭环自动调控；同时通过LoRa无线通信模块将数据汇聚至网关并上传云平台，支持农户通过手机端远程查看各棚环境状态和设备运行情况。本文从需求分析、市场现状、技术可行性、经济可行性、操作可行性、政策环境和风险评估等方面进行了全面论证，结果表明该方案技术成熟、单棚改造成本约200元、具备自动控制与远程管理双重能力，对中小规模农业种植户具有显著的实用价值和推广意义。</w:t>
      </w:r>
    </w:p>
    <w:p>
      <w:pPr>
        <w:spacing w:before="120" w:after="80"/>
        <w:jc w:val="center"/>
      </w:pPr>
      <w:r>
        <w:rPr>
          <w:rFonts w:ascii="Times New Roman" w:hAnsi="Times New Roman" w:eastAsia="黑体"/>
          <w:b/>
          <w:sz w:val="24"/>
        </w:rPr>
        <w:t>关键词</w:t>
      </w:r>
    </w:p>
    <w:p>
      <w:pPr>
        <w:spacing w:line="440" w:lineRule="exact" w:after="120"/>
      </w:pPr>
      <w:r>
        <w:rPr>
          <w:rFonts w:ascii="Times New Roman" w:hAnsi="Times New Roman" w:eastAsia="宋体"/>
          <w:b w:val="0"/>
          <w:sz w:val="24"/>
        </w:rPr>
        <w:t>物联网；智慧农业；大棚监控；STM32；LoRa；自动灌溉</w:t>
      </w:r>
    </w:p>
    <w:p>
      <w:pPr>
        <w:spacing w:before="240" w:after="120"/>
      </w:pPr>
      <w:r>
        <w:rPr>
          <w:rFonts w:ascii="Times New Roman" w:hAnsi="Times New Roman" w:eastAsia="黑体"/>
          <w:b/>
          <w:sz w:val="28"/>
        </w:rPr>
        <w:t>1　引言</w:t>
      </w:r>
    </w:p>
    <w:p>
      <w:pPr>
        <w:spacing w:line="440" w:lineRule="exact" w:after="120"/>
        <w:ind w:firstLine="420"/>
      </w:pPr>
      <w:r>
        <w:rPr>
          <w:rFonts w:ascii="Times New Roman" w:hAnsi="Times New Roman" w:eastAsia="宋体"/>
          <w:b w:val="0"/>
          <w:sz w:val="24"/>
        </w:rPr>
        <w:t>农业大棚（温室）是我国设施农业的主要生产形式，截至2024年全国设施农业面积已超过4000万亩，其中塑料大棚和日光温室占比超过80%。大棚内空气温度、湿度、光照强度以及土壤含水量是影响作物生长的关键环境因子，科学精准地调控这些参数是实现高产优质的基础[1]。然而，当前绝大多数中小规模种植户仍采用"看天浇水、凭经验揭帘"的传统管理方式，环境参数缺乏量化依据，调控手段单一且滞后。</w:t>
      </w:r>
    </w:p>
    <w:p>
      <w:pPr>
        <w:spacing w:line="440" w:lineRule="exact" w:after="120"/>
        <w:ind w:firstLine="420"/>
      </w:pPr>
      <w:r>
        <w:rPr>
          <w:rFonts w:ascii="Times New Roman" w:hAnsi="Times New Roman" w:eastAsia="宋体"/>
          <w:b w:val="0"/>
          <w:sz w:val="24"/>
        </w:rPr>
        <w:t>近年来，物联网和传感器技术在农业领域的应用日益广泛。基于微控制器和无线传感器网络的环境监控系统能够实现多参数实时采集、智能分析和远程管理，为精准农业提供了有效的技术手段[2]。国家"十四五"推进农业农村现代化规划明确提出大力发展智慧农业，推动物联网、大数据等技术与农业生产深度融合。2023年农业农村部发布的《数字农业农村发展规划》进一步强调加快设施农业智能化改造，为智慧大棚环境监控系统的推广应用营造了良好的政策环境[3]。</w:t>
      </w:r>
    </w:p>
    <w:p>
      <w:pPr>
        <w:spacing w:line="440" w:lineRule="exact" w:after="120"/>
        <w:ind w:firstLine="420"/>
      </w:pPr>
      <w:r>
        <w:rPr>
          <w:rFonts w:ascii="Times New Roman" w:hAnsi="Times New Roman" w:eastAsia="宋体"/>
          <w:b w:val="0"/>
          <w:sz w:val="24"/>
        </w:rPr>
        <w:t>然而，现有商用智慧农业方案（如大气候、科百科技等）通常采用整体集成模式，单棚投入在3000~15000元，且系统封闭、后期运维依赖厂商，对中小种植户的经济承受能力和使用习惯考虑不足。鉴于此，本文提出一种基于STM32+LoRa的低成本智慧大棚环境监控系统方案，并从多个维度对其可行性进行系统论证，为项目的立项决策和实际推广提供科学参考。</w:t>
      </w:r>
    </w:p>
    <w:p>
      <w:pPr>
        <w:spacing w:before="240" w:after="120"/>
      </w:pPr>
      <w:r>
        <w:rPr>
          <w:rFonts w:ascii="Times New Roman" w:hAnsi="Times New Roman" w:eastAsia="黑体"/>
          <w:b/>
          <w:sz w:val="28"/>
        </w:rPr>
        <w:t>2　系统需求分析</w:t>
      </w:r>
    </w:p>
    <w:p>
      <w:pPr>
        <w:spacing w:before="120" w:after="80"/>
      </w:pPr>
      <w:r>
        <w:rPr>
          <w:rFonts w:ascii="Times New Roman" w:hAnsi="Times New Roman" w:eastAsia="黑体"/>
          <w:b/>
          <w:sz w:val="24"/>
        </w:rPr>
        <w:t>2.1　功能需求</w:t>
      </w:r>
    </w:p>
    <w:p>
      <w:pPr>
        <w:spacing w:line="440" w:lineRule="exact" w:after="120"/>
        <w:ind w:firstLine="420"/>
      </w:pPr>
      <w:r>
        <w:rPr>
          <w:rFonts w:ascii="Times New Roman" w:hAnsi="Times New Roman" w:eastAsia="宋体"/>
          <w:b w:val="0"/>
          <w:sz w:val="24"/>
        </w:rPr>
        <w:t>结合对蔬菜大棚、花卉大棚和育苗温室的实地调研，系统应具备以下功能：</w:t>
      </w:r>
    </w:p>
    <w:p>
      <w:pPr>
        <w:spacing w:line="440" w:lineRule="exact" w:after="80"/>
        <w:ind w:firstLine="420"/>
      </w:pPr>
      <w:r>
        <w:rPr>
          <w:rFonts w:ascii="Times New Roman" w:hAnsi="Times New Roman" w:eastAsia="宋体"/>
          <w:b/>
          <w:sz w:val="24"/>
        </w:rPr>
        <w:t>（1）环境采集：</w:t>
      </w:r>
      <w:r>
        <w:rPr>
          <w:rFonts w:ascii="Times New Roman" w:hAnsi="Times New Roman" w:eastAsia="宋体"/>
          <w:b w:val="0"/>
          <w:sz w:val="24"/>
        </w:rPr>
        <w:t>实时采集棚内空气温度、空气湿度、土壤湿度和光照强度四项参数，采集周期可配置（默认30秒/次）。</w:t>
      </w:r>
    </w:p>
    <w:p>
      <w:pPr>
        <w:spacing w:line="440" w:lineRule="exact" w:after="80"/>
        <w:ind w:firstLine="420"/>
      </w:pPr>
      <w:r>
        <w:rPr>
          <w:rFonts w:ascii="Times New Roman" w:hAnsi="Times New Roman" w:eastAsia="宋体"/>
          <w:b/>
          <w:sz w:val="24"/>
        </w:rPr>
        <w:t>（2）本地显示：</w:t>
      </w:r>
      <w:r>
        <w:rPr>
          <w:rFonts w:ascii="Times New Roman" w:hAnsi="Times New Roman" w:eastAsia="宋体"/>
          <w:b w:val="0"/>
          <w:sz w:val="24"/>
        </w:rPr>
        <w:t>通过LCD1602液晶屏显示当前四项参数实时值及设备运行状态（水泵开/关、卷帘位置等）。</w:t>
      </w:r>
    </w:p>
    <w:p>
      <w:pPr>
        <w:spacing w:line="440" w:lineRule="exact" w:after="80"/>
        <w:ind w:firstLine="420"/>
      </w:pPr>
      <w:r>
        <w:rPr>
          <w:rFonts w:ascii="Times New Roman" w:hAnsi="Times New Roman" w:eastAsia="宋体"/>
          <w:b/>
          <w:sz w:val="24"/>
        </w:rPr>
        <w:t>（3）自动控制：</w:t>
      </w:r>
      <w:r>
        <w:rPr>
          <w:rFonts w:ascii="Times New Roman" w:hAnsi="Times New Roman" w:eastAsia="宋体"/>
          <w:b w:val="0"/>
          <w:sz w:val="24"/>
        </w:rPr>
        <w:t>当土壤湿度低于下限时自动启动灌溉水泵，达到上限后自动停止；当温度超过上限时自动启动通风风机；光照过强时提示收帘。全部控制逻辑在MCU端闭环执行，无需依赖网络。</w:t>
      </w:r>
    </w:p>
    <w:p>
      <w:pPr>
        <w:spacing w:line="440" w:lineRule="exact" w:after="80"/>
        <w:ind w:firstLine="420"/>
      </w:pPr>
      <w:r>
        <w:rPr>
          <w:rFonts w:ascii="Times New Roman" w:hAnsi="Times New Roman" w:eastAsia="宋体"/>
          <w:b/>
          <w:sz w:val="24"/>
        </w:rPr>
        <w:t>（4）手动覆盖：</w:t>
      </w:r>
      <w:r>
        <w:rPr>
          <w:rFonts w:ascii="Times New Roman" w:hAnsi="Times New Roman" w:eastAsia="宋体"/>
          <w:b w:val="0"/>
          <w:sz w:val="24"/>
        </w:rPr>
        <w:t>农户可通过按键或手机端远程指令强制开启/关闭灌溉、通风等设备，手动优先级高于自动逻辑。</w:t>
      </w:r>
    </w:p>
    <w:p>
      <w:pPr>
        <w:spacing w:line="440" w:lineRule="exact" w:after="80"/>
        <w:ind w:firstLine="420"/>
      </w:pPr>
      <w:r>
        <w:rPr>
          <w:rFonts w:ascii="Times New Roman" w:hAnsi="Times New Roman" w:eastAsia="宋体"/>
          <w:b/>
          <w:sz w:val="24"/>
        </w:rPr>
        <w:t>（5）无线传输：</w:t>
      </w:r>
      <w:r>
        <w:rPr>
          <w:rFonts w:ascii="Times New Roman" w:hAnsi="Times New Roman" w:eastAsia="宋体"/>
          <w:b w:val="0"/>
          <w:sz w:val="24"/>
        </w:rPr>
        <w:t>通过LoRa模块将各棚数据汇聚至中央网关（覆盖半径1~3km），网关通过4G/WiFi上传云平台。</w:t>
      </w:r>
    </w:p>
    <w:p>
      <w:pPr>
        <w:spacing w:line="440" w:lineRule="exact" w:after="80"/>
        <w:ind w:firstLine="420"/>
      </w:pPr>
      <w:r>
        <w:rPr>
          <w:rFonts w:ascii="Times New Roman" w:hAnsi="Times New Roman" w:eastAsia="宋体"/>
          <w:b/>
          <w:sz w:val="24"/>
        </w:rPr>
        <w:t>（6）远程管理：</w:t>
      </w:r>
      <w:r>
        <w:rPr>
          <w:rFonts w:ascii="Times New Roman" w:hAnsi="Times New Roman" w:eastAsia="宋体"/>
          <w:b w:val="0"/>
          <w:sz w:val="24"/>
        </w:rPr>
        <w:t>手机APP或微信小程序查看各棚实时环境、历史曲线、设备状态，支持远程下发控制指令和阈值修改。</w:t>
      </w:r>
    </w:p>
    <w:p>
      <w:pPr>
        <w:spacing w:line="440" w:lineRule="exact" w:after="80"/>
        <w:ind w:firstLine="420"/>
      </w:pPr>
      <w:r>
        <w:rPr>
          <w:rFonts w:ascii="Times New Roman" w:hAnsi="Times New Roman" w:eastAsia="宋体"/>
          <w:b/>
          <w:sz w:val="24"/>
        </w:rPr>
        <w:t>（7）异常报警：</w:t>
      </w:r>
      <w:r>
        <w:rPr>
          <w:rFonts w:ascii="Times New Roman" w:hAnsi="Times New Roman" w:eastAsia="宋体"/>
          <w:b w:val="0"/>
          <w:sz w:val="24"/>
        </w:rPr>
        <w:t>温度异常（如霜冻预警）、土壤过干、设备故障等情况通过手机推送和短信通知农户。</w:t>
      </w:r>
    </w:p>
    <w:p>
      <w:pPr>
        <w:spacing w:before="120" w:after="80"/>
      </w:pPr>
      <w:r>
        <w:rPr>
          <w:rFonts w:ascii="Times New Roman" w:hAnsi="Times New Roman" w:eastAsia="黑体"/>
          <w:b/>
          <w:sz w:val="24"/>
        </w:rPr>
        <w:t>2.2　性能需求</w:t>
      </w:r>
    </w:p>
    <w:p>
      <w:pPr>
        <w:spacing w:line="440" w:lineRule="exact" w:after="120"/>
        <w:ind w:firstLine="420"/>
      </w:pPr>
      <w:r>
        <w:rPr>
          <w:rFonts w:ascii="Times New Roman" w:hAnsi="Times New Roman" w:eastAsia="宋体"/>
          <w:b w:val="0"/>
          <w:sz w:val="24"/>
        </w:rPr>
        <w:t>系统主要性能指标如表1所示。</w:t>
      </w:r>
    </w:p>
    <w:p>
      <w:pPr>
        <w:spacing w:before="160" w:after="80"/>
        <w:jc w:val="center"/>
      </w:pPr>
      <w:r>
        <w:rPr>
          <w:rFonts w:ascii="Times New Roman" w:hAnsi="Times New Roman" w:eastAsia="宋体"/>
          <w:b/>
          <w:sz w:val="22"/>
        </w:rPr>
        <w:t>表1　系统主要性能指标</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Times New Roman" w:hAnsi="Times New Roman" w:eastAsia="宋体"/>
                <w:b/>
                <w:sz w:val="22"/>
              </w:rPr>
              <w:t>性能指标</w:t>
            </w:r>
          </w:p>
        </w:tc>
        <w:tc>
          <w:tcPr>
            <w:tcW w:type="dxa" w:w="4323"/>
          </w:tcPr>
          <w:p>
            <w:pPr>
              <w:jc w:val="center"/>
            </w:pPr>
            <w:r/>
            <w:r>
              <w:rPr>
                <w:rFonts w:ascii="Times New Roman" w:hAnsi="Times New Roman" w:eastAsia="宋体"/>
                <w:b/>
                <w:sz w:val="22"/>
              </w:rPr>
              <w:t>目标值</w:t>
            </w:r>
          </w:p>
        </w:tc>
      </w:tr>
      <w:tr>
        <w:tc>
          <w:tcPr>
            <w:tcW w:type="dxa" w:w="4323"/>
          </w:tcPr>
          <w:p>
            <w:pPr>
              <w:jc w:val="center"/>
            </w:pPr>
            <w:r/>
            <w:r>
              <w:rPr>
                <w:rFonts w:ascii="Times New Roman" w:hAnsi="Times New Roman" w:eastAsia="宋体"/>
                <w:b w:val="0"/>
                <w:sz w:val="22"/>
              </w:rPr>
              <w:t>温度测量范围/精度</w:t>
            </w:r>
          </w:p>
        </w:tc>
        <w:tc>
          <w:tcPr>
            <w:tcW w:type="dxa" w:w="4323"/>
          </w:tcPr>
          <w:p>
            <w:pPr>
              <w:jc w:val="center"/>
            </w:pPr>
            <w:r/>
            <w:r>
              <w:rPr>
                <w:rFonts w:ascii="Times New Roman" w:hAnsi="Times New Roman" w:eastAsia="宋体"/>
                <w:b w:val="0"/>
                <w:sz w:val="22"/>
              </w:rPr>
              <w:t>-40~80℃ / ±0.5℃</w:t>
            </w:r>
          </w:p>
        </w:tc>
      </w:tr>
      <w:tr>
        <w:tc>
          <w:tcPr>
            <w:tcW w:type="dxa" w:w="4323"/>
          </w:tcPr>
          <w:p>
            <w:pPr>
              <w:jc w:val="center"/>
            </w:pPr>
            <w:r/>
            <w:r>
              <w:rPr>
                <w:rFonts w:ascii="Times New Roman" w:hAnsi="Times New Roman" w:eastAsia="宋体"/>
                <w:b w:val="0"/>
                <w:sz w:val="22"/>
              </w:rPr>
              <w:t>湿度测量范围/精度</w:t>
            </w:r>
          </w:p>
        </w:tc>
        <w:tc>
          <w:tcPr>
            <w:tcW w:type="dxa" w:w="4323"/>
          </w:tcPr>
          <w:p>
            <w:pPr>
              <w:jc w:val="center"/>
            </w:pPr>
            <w:r/>
            <w:r>
              <w:rPr>
                <w:rFonts w:ascii="Times New Roman" w:hAnsi="Times New Roman" w:eastAsia="宋体"/>
                <w:b w:val="0"/>
                <w:sz w:val="22"/>
              </w:rPr>
              <w:t>0~100%RH / ±3%RH</w:t>
            </w:r>
          </w:p>
        </w:tc>
      </w:tr>
      <w:tr>
        <w:tc>
          <w:tcPr>
            <w:tcW w:type="dxa" w:w="4323"/>
          </w:tcPr>
          <w:p>
            <w:pPr>
              <w:jc w:val="center"/>
            </w:pPr>
            <w:r/>
            <w:r>
              <w:rPr>
                <w:rFonts w:ascii="Times New Roman" w:hAnsi="Times New Roman" w:eastAsia="宋体"/>
                <w:b w:val="0"/>
                <w:sz w:val="22"/>
              </w:rPr>
              <w:t>土壤湿度测量范围</w:t>
            </w:r>
          </w:p>
        </w:tc>
        <w:tc>
          <w:tcPr>
            <w:tcW w:type="dxa" w:w="4323"/>
          </w:tcPr>
          <w:p>
            <w:pPr>
              <w:jc w:val="center"/>
            </w:pPr>
            <w:r/>
            <w:r>
              <w:rPr>
                <w:rFonts w:ascii="Times New Roman" w:hAnsi="Times New Roman" w:eastAsia="宋体"/>
                <w:b w:val="0"/>
                <w:sz w:val="22"/>
              </w:rPr>
              <w:t>0~100%（模拟量输出）</w:t>
            </w:r>
          </w:p>
        </w:tc>
      </w:tr>
      <w:tr>
        <w:tc>
          <w:tcPr>
            <w:tcW w:type="dxa" w:w="4323"/>
          </w:tcPr>
          <w:p>
            <w:pPr>
              <w:jc w:val="center"/>
            </w:pPr>
            <w:r/>
            <w:r>
              <w:rPr>
                <w:rFonts w:ascii="Times New Roman" w:hAnsi="Times New Roman" w:eastAsia="宋体"/>
                <w:b w:val="0"/>
                <w:sz w:val="22"/>
              </w:rPr>
              <w:t>光照测量范围/精度</w:t>
            </w:r>
          </w:p>
        </w:tc>
        <w:tc>
          <w:tcPr>
            <w:tcW w:type="dxa" w:w="4323"/>
          </w:tcPr>
          <w:p>
            <w:pPr>
              <w:jc w:val="center"/>
            </w:pPr>
            <w:r/>
            <w:r>
              <w:rPr>
                <w:rFonts w:ascii="Times New Roman" w:hAnsi="Times New Roman" w:eastAsia="宋体"/>
                <w:b w:val="0"/>
                <w:sz w:val="22"/>
              </w:rPr>
              <w:t>1~65535lx / ±20%</w:t>
            </w:r>
          </w:p>
        </w:tc>
      </w:tr>
      <w:tr>
        <w:tc>
          <w:tcPr>
            <w:tcW w:type="dxa" w:w="4323"/>
          </w:tcPr>
          <w:p>
            <w:pPr>
              <w:jc w:val="center"/>
            </w:pPr>
            <w:r/>
            <w:r>
              <w:rPr>
                <w:rFonts w:ascii="Times New Roman" w:hAnsi="Times New Roman" w:eastAsia="宋体"/>
                <w:b w:val="0"/>
                <w:sz w:val="22"/>
              </w:rPr>
              <w:t>采集周期</w:t>
            </w:r>
          </w:p>
        </w:tc>
        <w:tc>
          <w:tcPr>
            <w:tcW w:type="dxa" w:w="4323"/>
          </w:tcPr>
          <w:p>
            <w:pPr>
              <w:jc w:val="center"/>
            </w:pPr>
            <w:r/>
            <w:r>
              <w:rPr>
                <w:rFonts w:ascii="Times New Roman" w:hAnsi="Times New Roman" w:eastAsia="宋体"/>
                <w:b w:val="0"/>
                <w:sz w:val="22"/>
              </w:rPr>
              <w:t>可配置，默认30秒/次</w:t>
            </w:r>
          </w:p>
        </w:tc>
      </w:tr>
      <w:tr>
        <w:tc>
          <w:tcPr>
            <w:tcW w:type="dxa" w:w="4323"/>
          </w:tcPr>
          <w:p>
            <w:pPr>
              <w:jc w:val="center"/>
            </w:pPr>
            <w:r/>
            <w:r>
              <w:rPr>
                <w:rFonts w:ascii="Times New Roman" w:hAnsi="Times New Roman" w:eastAsia="宋体"/>
                <w:b w:val="0"/>
                <w:sz w:val="22"/>
              </w:rPr>
              <w:t>控制响应时间</w:t>
            </w:r>
          </w:p>
        </w:tc>
        <w:tc>
          <w:tcPr>
            <w:tcW w:type="dxa" w:w="4323"/>
          </w:tcPr>
          <w:p>
            <w:pPr>
              <w:jc w:val="center"/>
            </w:pPr>
            <w:r/>
            <w:r>
              <w:rPr>
                <w:rFonts w:ascii="Times New Roman" w:hAnsi="Times New Roman" w:eastAsia="宋体"/>
                <w:b w:val="0"/>
                <w:sz w:val="22"/>
              </w:rPr>
              <w:t>参数越限后≤5秒执行控制动作</w:t>
            </w:r>
          </w:p>
        </w:tc>
      </w:tr>
      <w:tr>
        <w:tc>
          <w:tcPr>
            <w:tcW w:type="dxa" w:w="4323"/>
          </w:tcPr>
          <w:p>
            <w:pPr>
              <w:jc w:val="center"/>
            </w:pPr>
            <w:r/>
            <w:r>
              <w:rPr>
                <w:rFonts w:ascii="Times New Roman" w:hAnsi="Times New Roman" w:eastAsia="宋体"/>
                <w:b w:val="0"/>
                <w:sz w:val="22"/>
              </w:rPr>
              <w:t>LoRa通信距离</w:t>
            </w:r>
          </w:p>
        </w:tc>
        <w:tc>
          <w:tcPr>
            <w:tcW w:type="dxa" w:w="4323"/>
          </w:tcPr>
          <w:p>
            <w:pPr>
              <w:jc w:val="center"/>
            </w:pPr>
            <w:r/>
            <w:r>
              <w:rPr>
                <w:rFonts w:ascii="Times New Roman" w:hAnsi="Times New Roman" w:eastAsia="宋体"/>
                <w:b w:val="0"/>
                <w:sz w:val="22"/>
              </w:rPr>
              <w:t>视距≥2km，遮挡环境≥500m</w:t>
            </w:r>
          </w:p>
        </w:tc>
      </w:tr>
      <w:tr>
        <w:tc>
          <w:tcPr>
            <w:tcW w:type="dxa" w:w="4323"/>
          </w:tcPr>
          <w:p>
            <w:pPr>
              <w:jc w:val="center"/>
            </w:pPr>
            <w:r/>
            <w:r>
              <w:rPr>
                <w:rFonts w:ascii="Times New Roman" w:hAnsi="Times New Roman" w:eastAsia="宋体"/>
                <w:b w:val="0"/>
                <w:sz w:val="22"/>
              </w:rPr>
              <w:t>单网关接入棚数</w:t>
            </w:r>
          </w:p>
        </w:tc>
        <w:tc>
          <w:tcPr>
            <w:tcW w:type="dxa" w:w="4323"/>
          </w:tcPr>
          <w:p>
            <w:pPr>
              <w:jc w:val="center"/>
            </w:pPr>
            <w:r/>
            <w:r>
              <w:rPr>
                <w:rFonts w:ascii="Times New Roman" w:hAnsi="Times New Roman" w:eastAsia="宋体"/>
                <w:b w:val="0"/>
                <w:sz w:val="22"/>
              </w:rPr>
              <w:t>≥20个节点</w:t>
            </w:r>
          </w:p>
        </w:tc>
      </w:tr>
      <w:tr>
        <w:tc>
          <w:tcPr>
            <w:tcW w:type="dxa" w:w="4323"/>
          </w:tcPr>
          <w:p>
            <w:pPr>
              <w:jc w:val="center"/>
            </w:pPr>
            <w:r/>
            <w:r>
              <w:rPr>
                <w:rFonts w:ascii="Times New Roman" w:hAnsi="Times New Roman" w:eastAsia="宋体"/>
                <w:b w:val="0"/>
                <w:sz w:val="22"/>
              </w:rPr>
              <w:t>数据上传成功率</w:t>
            </w:r>
          </w:p>
        </w:tc>
        <w:tc>
          <w:tcPr>
            <w:tcW w:type="dxa" w:w="4323"/>
          </w:tcPr>
          <w:p>
            <w:pPr>
              <w:jc w:val="center"/>
            </w:pPr>
            <w:r/>
            <w:r>
              <w:rPr>
                <w:rFonts w:ascii="Times New Roman" w:hAnsi="Times New Roman" w:eastAsia="宋体"/>
                <w:b w:val="0"/>
                <w:sz w:val="22"/>
              </w:rPr>
              <w:t>≥95%</w:t>
            </w:r>
          </w:p>
        </w:tc>
      </w:tr>
      <w:tr>
        <w:tc>
          <w:tcPr>
            <w:tcW w:type="dxa" w:w="4323"/>
          </w:tcPr>
          <w:p>
            <w:pPr>
              <w:jc w:val="center"/>
            </w:pPr>
            <w:r/>
            <w:r>
              <w:rPr>
                <w:rFonts w:ascii="Times New Roman" w:hAnsi="Times New Roman" w:eastAsia="宋体"/>
                <w:b w:val="0"/>
                <w:sz w:val="22"/>
              </w:rPr>
              <w:t>连续运行时长</w:t>
            </w:r>
          </w:p>
        </w:tc>
        <w:tc>
          <w:tcPr>
            <w:tcW w:type="dxa" w:w="4323"/>
          </w:tcPr>
          <w:p>
            <w:pPr>
              <w:jc w:val="center"/>
            </w:pPr>
            <w:r/>
            <w:r>
              <w:rPr>
                <w:rFonts w:ascii="Times New Roman" w:hAnsi="Times New Roman" w:eastAsia="宋体"/>
                <w:b w:val="0"/>
                <w:sz w:val="22"/>
              </w:rPr>
              <w:t>≥30天无需人工干预</w:t>
            </w:r>
          </w:p>
        </w:tc>
      </w:tr>
    </w:tbl>
    <w:p>
      <w:pPr>
        <w:spacing w:before="120" w:after="80"/>
      </w:pPr>
      <w:r>
        <w:rPr>
          <w:rFonts w:ascii="Times New Roman" w:hAnsi="Times New Roman" w:eastAsia="黑体"/>
          <w:b/>
          <w:sz w:val="24"/>
        </w:rPr>
        <w:t>2.3　使用与环境需求</w:t>
      </w:r>
    </w:p>
    <w:p>
      <w:pPr>
        <w:spacing w:line="440" w:lineRule="exact" w:after="120"/>
        <w:ind w:firstLine="420"/>
      </w:pPr>
      <w:r>
        <w:rPr>
          <w:rFonts w:ascii="Times New Roman" w:hAnsi="Times New Roman" w:eastAsia="宋体"/>
          <w:b w:val="0"/>
          <w:sz w:val="24"/>
        </w:rPr>
        <w:t>设备防护等级不低于IP54，适应大棚内高温高湿、粉尘和农药腐蚀等恶劣环境。供电方式采用棚内220V交流电经开关电源转换为12V/5V直流供电，灌溉水泵和风机直接由继电器控制220V回路。传感器探头需做防水密封处理，土壤湿度传感器探针直接插入土中。系统应支持断电记忆功能，恢复供电后自动恢复上次运行状态。操作界面简洁直观，适应农户的文化水平和操作习惯，支持方言语音提示（扩展功能）。</w:t>
      </w:r>
    </w:p>
    <w:p>
      <w:pPr>
        <w:spacing w:before="240" w:after="120"/>
      </w:pPr>
      <w:r>
        <w:rPr>
          <w:rFonts w:ascii="Times New Roman" w:hAnsi="Times New Roman" w:eastAsia="黑体"/>
          <w:b/>
          <w:sz w:val="28"/>
        </w:rPr>
        <w:t>3　市场与应用分析</w:t>
      </w:r>
    </w:p>
    <w:p>
      <w:pPr>
        <w:spacing w:before="120" w:after="80"/>
      </w:pPr>
      <w:r>
        <w:rPr>
          <w:rFonts w:ascii="Times New Roman" w:hAnsi="Times New Roman" w:eastAsia="黑体"/>
          <w:b/>
          <w:sz w:val="24"/>
        </w:rPr>
        <w:t>3.1　应用场景</w:t>
      </w:r>
    </w:p>
    <w:p>
      <w:pPr>
        <w:spacing w:line="440" w:lineRule="exact" w:after="120"/>
        <w:ind w:firstLine="420"/>
      </w:pPr>
      <w:r>
        <w:rPr>
          <w:rFonts w:ascii="Times New Roman" w:hAnsi="Times New Roman" w:eastAsia="宋体"/>
          <w:b w:val="0"/>
          <w:sz w:val="24"/>
        </w:rPr>
        <w:t>本系统主要面向以下农业生产场景：蔬菜种植塑料大棚和日光温室；花卉和苗木培育温室；食用菌种植棚；育苗温室和组培室；果园防雨棚和遮阳棚；中药材种植大棚。此外，系统架构经过简单调整可适配水产养殖塘（替换为水质传感器）和畜禽养殖舍等场景。</w:t>
      </w:r>
    </w:p>
    <w:p>
      <w:pPr>
        <w:spacing w:before="120" w:after="80"/>
      </w:pPr>
      <w:r>
        <w:rPr>
          <w:rFonts w:ascii="Times New Roman" w:hAnsi="Times New Roman" w:eastAsia="黑体"/>
          <w:b/>
          <w:sz w:val="24"/>
        </w:rPr>
        <w:t>3.2　行业现状</w:t>
      </w:r>
    </w:p>
    <w:p>
      <w:pPr>
        <w:spacing w:line="440" w:lineRule="exact" w:after="120"/>
        <w:ind w:firstLine="420"/>
      </w:pPr>
      <w:r>
        <w:rPr>
          <w:rFonts w:ascii="Times New Roman" w:hAnsi="Times New Roman" w:eastAsia="宋体"/>
          <w:b w:val="0"/>
          <w:sz w:val="24"/>
        </w:rPr>
        <w:t>目前农业大棚环境管理领域主要有四类方案。第一类是纯人工管理，成本最低但效率最差，环境调控全凭经验，浪费水资源且容易错过最佳调控时机。第二类是定时器控制的简易自动灌溉系统，功能单一，仅按固定时间开关水泵，不具备环境感知能力。第三类是专业温室控制系统（如Priva、Ridder等进口品牌），功能全面但价格高昂，单栋温室控制系统投入在5000~20000元，且需要专业安装和维保服务。第四类是国内物联网农业方案（如大气候、科百科技等），价格居中但多采用整体打包模式，传感器和平台绑定，农户缺乏自主管理能力，后续服务费用持续产生[4]。</w:t>
      </w:r>
    </w:p>
    <w:p>
      <w:pPr>
        <w:spacing w:before="120" w:after="80"/>
      </w:pPr>
      <w:r>
        <w:rPr>
          <w:rFonts w:ascii="Times New Roman" w:hAnsi="Times New Roman" w:eastAsia="黑体"/>
          <w:b/>
          <w:sz w:val="24"/>
        </w:rPr>
        <w:t>3.3　本方案优势</w:t>
      </w:r>
    </w:p>
    <w:p>
      <w:pPr>
        <w:spacing w:line="440" w:lineRule="exact" w:after="120"/>
        <w:ind w:firstLine="420"/>
      </w:pPr>
      <w:r>
        <w:rPr>
          <w:rFonts w:ascii="Times New Roman" w:hAnsi="Times New Roman" w:eastAsia="宋体"/>
          <w:b w:val="0"/>
          <w:sz w:val="24"/>
        </w:rPr>
        <w:t>本方案针对中小种植户的实际需求和经济能力进行设计，具有以下优势：单棚改造成本约200元，批量部署10个棚总投入约2000元，普通种植户可承受；采用LoRa无线通信，无需在田间铺设通信线缆，安装灵活且覆盖距离远；自动控制逻辑在MCU端本地闭环执行，网络中断不影响基础环境调控功能；所有器件通用可替换，农户可自行采购和更换，无厂商锁定。</w:t>
      </w:r>
    </w:p>
    <w:p>
      <w:pPr>
        <w:spacing w:before="160" w:after="80"/>
        <w:jc w:val="center"/>
      </w:pPr>
      <w:r>
        <w:rPr>
          <w:rFonts w:ascii="Times New Roman" w:hAnsi="Times New Roman" w:eastAsia="宋体"/>
          <w:b/>
          <w:sz w:val="22"/>
        </w:rPr>
        <w:t>表2　本方案与主流大棚监控方案对比</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Times New Roman" w:hAnsi="Times New Roman" w:eastAsia="宋体"/>
                <w:b/>
                <w:sz w:val="22"/>
              </w:rPr>
              <w:t>对比维度</w:t>
            </w:r>
          </w:p>
        </w:tc>
        <w:tc>
          <w:tcPr>
            <w:tcW w:type="dxa" w:w="2161"/>
          </w:tcPr>
          <w:p>
            <w:pPr>
              <w:jc w:val="center"/>
            </w:pPr>
            <w:r/>
            <w:r>
              <w:rPr>
                <w:rFonts w:ascii="Times New Roman" w:hAnsi="Times New Roman" w:eastAsia="宋体"/>
                <w:b/>
                <w:sz w:val="22"/>
              </w:rPr>
              <w:t>本项目方案</w:t>
            </w:r>
          </w:p>
        </w:tc>
        <w:tc>
          <w:tcPr>
            <w:tcW w:type="dxa" w:w="2161"/>
          </w:tcPr>
          <w:p>
            <w:pPr>
              <w:jc w:val="center"/>
            </w:pPr>
            <w:r/>
            <w:r>
              <w:rPr>
                <w:rFonts w:ascii="Times New Roman" w:hAnsi="Times New Roman" w:eastAsia="宋体"/>
                <w:b/>
                <w:sz w:val="22"/>
              </w:rPr>
              <w:t>专业温室系统</w:t>
            </w:r>
          </w:p>
        </w:tc>
        <w:tc>
          <w:tcPr>
            <w:tcW w:type="dxa" w:w="2161"/>
          </w:tcPr>
          <w:p>
            <w:pPr>
              <w:jc w:val="center"/>
            </w:pPr>
            <w:r/>
            <w:r>
              <w:rPr>
                <w:rFonts w:ascii="Times New Roman" w:hAnsi="Times New Roman" w:eastAsia="宋体"/>
                <w:b/>
                <w:sz w:val="22"/>
              </w:rPr>
              <w:t>国内物联网方案</w:t>
            </w:r>
          </w:p>
        </w:tc>
      </w:tr>
      <w:tr>
        <w:tc>
          <w:tcPr>
            <w:tcW w:type="dxa" w:w="2161"/>
          </w:tcPr>
          <w:p>
            <w:pPr>
              <w:jc w:val="center"/>
            </w:pPr>
            <w:r/>
            <w:r>
              <w:rPr>
                <w:rFonts w:ascii="Times New Roman" w:hAnsi="Times New Roman" w:eastAsia="宋体"/>
                <w:b w:val="0"/>
                <w:sz w:val="22"/>
              </w:rPr>
              <w:t>单棚成本</w:t>
            </w:r>
          </w:p>
        </w:tc>
        <w:tc>
          <w:tcPr>
            <w:tcW w:type="dxa" w:w="2161"/>
          </w:tcPr>
          <w:p>
            <w:pPr>
              <w:jc w:val="center"/>
            </w:pPr>
            <w:r/>
            <w:r>
              <w:rPr>
                <w:rFonts w:ascii="Times New Roman" w:hAnsi="Times New Roman" w:eastAsia="宋体"/>
                <w:b w:val="0"/>
                <w:sz w:val="22"/>
              </w:rPr>
              <w:t>≈200元</w:t>
            </w:r>
          </w:p>
        </w:tc>
        <w:tc>
          <w:tcPr>
            <w:tcW w:type="dxa" w:w="2161"/>
          </w:tcPr>
          <w:p>
            <w:pPr>
              <w:jc w:val="center"/>
            </w:pPr>
            <w:r/>
            <w:r>
              <w:rPr>
                <w:rFonts w:ascii="Times New Roman" w:hAnsi="Times New Roman" w:eastAsia="宋体"/>
                <w:b w:val="0"/>
                <w:sz w:val="22"/>
              </w:rPr>
              <w:t>5000~20000元</w:t>
            </w:r>
          </w:p>
        </w:tc>
        <w:tc>
          <w:tcPr>
            <w:tcW w:type="dxa" w:w="2161"/>
          </w:tcPr>
          <w:p>
            <w:pPr>
              <w:jc w:val="center"/>
            </w:pPr>
            <w:r/>
            <w:r>
              <w:rPr>
                <w:rFonts w:ascii="Times New Roman" w:hAnsi="Times New Roman" w:eastAsia="宋体"/>
                <w:b w:val="0"/>
                <w:sz w:val="22"/>
              </w:rPr>
              <w:t>2000~5000元</w:t>
            </w:r>
          </w:p>
        </w:tc>
      </w:tr>
      <w:tr>
        <w:tc>
          <w:tcPr>
            <w:tcW w:type="dxa" w:w="2161"/>
          </w:tcPr>
          <w:p>
            <w:pPr>
              <w:jc w:val="center"/>
            </w:pPr>
            <w:r/>
            <w:r>
              <w:rPr>
                <w:rFonts w:ascii="Times New Roman" w:hAnsi="Times New Roman" w:eastAsia="宋体"/>
                <w:b w:val="0"/>
                <w:sz w:val="22"/>
              </w:rPr>
              <w:t>自动控制能力</w:t>
            </w:r>
          </w:p>
        </w:tc>
        <w:tc>
          <w:tcPr>
            <w:tcW w:type="dxa" w:w="2161"/>
          </w:tcPr>
          <w:p>
            <w:pPr>
              <w:jc w:val="center"/>
            </w:pPr>
            <w:r/>
            <w:r>
              <w:rPr>
                <w:rFonts w:ascii="Times New Roman" w:hAnsi="Times New Roman" w:eastAsia="宋体"/>
                <w:b w:val="0"/>
                <w:sz w:val="22"/>
              </w:rPr>
              <w:t>有（本地闭环）</w:t>
            </w:r>
          </w:p>
        </w:tc>
        <w:tc>
          <w:tcPr>
            <w:tcW w:type="dxa" w:w="2161"/>
          </w:tcPr>
          <w:p>
            <w:pPr>
              <w:jc w:val="center"/>
            </w:pPr>
            <w:r/>
            <w:r>
              <w:rPr>
                <w:rFonts w:ascii="Times New Roman" w:hAnsi="Times New Roman" w:eastAsia="宋体"/>
                <w:b w:val="0"/>
                <w:sz w:val="22"/>
              </w:rPr>
              <w:t>有（强）</w:t>
            </w:r>
          </w:p>
        </w:tc>
        <w:tc>
          <w:tcPr>
            <w:tcW w:type="dxa" w:w="2161"/>
          </w:tcPr>
          <w:p>
            <w:pPr>
              <w:jc w:val="center"/>
            </w:pPr>
            <w:r/>
            <w:r>
              <w:rPr>
                <w:rFonts w:ascii="Times New Roman" w:hAnsi="Times New Roman" w:eastAsia="宋体"/>
                <w:b w:val="0"/>
                <w:sz w:val="22"/>
              </w:rPr>
              <w:t>部分有（依赖网络）</w:t>
            </w:r>
          </w:p>
        </w:tc>
      </w:tr>
      <w:tr>
        <w:tc>
          <w:tcPr>
            <w:tcW w:type="dxa" w:w="2161"/>
          </w:tcPr>
          <w:p>
            <w:pPr>
              <w:jc w:val="center"/>
            </w:pPr>
            <w:r/>
            <w:r>
              <w:rPr>
                <w:rFonts w:ascii="Times New Roman" w:hAnsi="Times New Roman" w:eastAsia="宋体"/>
                <w:b w:val="0"/>
                <w:sz w:val="22"/>
              </w:rPr>
              <w:t>通信方式</w:t>
            </w:r>
          </w:p>
        </w:tc>
        <w:tc>
          <w:tcPr>
            <w:tcW w:type="dxa" w:w="2161"/>
          </w:tcPr>
          <w:p>
            <w:pPr>
              <w:jc w:val="center"/>
            </w:pPr>
            <w:r/>
            <w:r>
              <w:rPr>
                <w:rFonts w:ascii="Times New Roman" w:hAnsi="Times New Roman" w:eastAsia="宋体"/>
                <w:b w:val="0"/>
                <w:sz w:val="22"/>
              </w:rPr>
              <w:t>LoRa（免布线）</w:t>
            </w:r>
          </w:p>
        </w:tc>
        <w:tc>
          <w:tcPr>
            <w:tcW w:type="dxa" w:w="2161"/>
          </w:tcPr>
          <w:p>
            <w:pPr>
              <w:jc w:val="center"/>
            </w:pPr>
            <w:r/>
            <w:r>
              <w:rPr>
                <w:rFonts w:ascii="Times New Roman" w:hAnsi="Times New Roman" w:eastAsia="宋体"/>
                <w:b w:val="0"/>
                <w:sz w:val="22"/>
              </w:rPr>
              <w:t>有线/无线</w:t>
            </w:r>
          </w:p>
        </w:tc>
        <w:tc>
          <w:tcPr>
            <w:tcW w:type="dxa" w:w="2161"/>
          </w:tcPr>
          <w:p>
            <w:pPr>
              <w:jc w:val="center"/>
            </w:pPr>
            <w:r/>
            <w:r>
              <w:rPr>
                <w:rFonts w:ascii="Times New Roman" w:hAnsi="Times New Roman" w:eastAsia="宋体"/>
                <w:b w:val="0"/>
                <w:sz w:val="22"/>
              </w:rPr>
              <w:t>4G/WiFi</w:t>
            </w:r>
          </w:p>
        </w:tc>
      </w:tr>
      <w:tr>
        <w:tc>
          <w:tcPr>
            <w:tcW w:type="dxa" w:w="2161"/>
          </w:tcPr>
          <w:p>
            <w:pPr>
              <w:jc w:val="center"/>
            </w:pPr>
            <w:r/>
            <w:r>
              <w:rPr>
                <w:rFonts w:ascii="Times New Roman" w:hAnsi="Times New Roman" w:eastAsia="宋体"/>
                <w:b w:val="0"/>
                <w:sz w:val="22"/>
              </w:rPr>
              <w:t>离线可用性</w:t>
            </w:r>
          </w:p>
        </w:tc>
        <w:tc>
          <w:tcPr>
            <w:tcW w:type="dxa" w:w="2161"/>
          </w:tcPr>
          <w:p>
            <w:pPr>
              <w:jc w:val="center"/>
            </w:pPr>
            <w:r/>
            <w:r>
              <w:rPr>
                <w:rFonts w:ascii="Times New Roman" w:hAnsi="Times New Roman" w:eastAsia="宋体"/>
                <w:b w:val="0"/>
                <w:sz w:val="22"/>
              </w:rPr>
              <w:t>完全可用</w:t>
            </w:r>
          </w:p>
        </w:tc>
        <w:tc>
          <w:tcPr>
            <w:tcW w:type="dxa" w:w="2161"/>
          </w:tcPr>
          <w:p>
            <w:pPr>
              <w:jc w:val="center"/>
            </w:pPr>
            <w:r/>
            <w:r>
              <w:rPr>
                <w:rFonts w:ascii="Times New Roman" w:hAnsi="Times New Roman" w:eastAsia="宋体"/>
                <w:b w:val="0"/>
                <w:sz w:val="22"/>
              </w:rPr>
              <w:t>完全可用</w:t>
            </w:r>
          </w:p>
        </w:tc>
        <w:tc>
          <w:tcPr>
            <w:tcW w:type="dxa" w:w="2161"/>
          </w:tcPr>
          <w:p>
            <w:pPr>
              <w:jc w:val="center"/>
            </w:pPr>
            <w:r/>
            <w:r>
              <w:rPr>
                <w:rFonts w:ascii="Times New Roman" w:hAnsi="Times New Roman" w:eastAsia="宋体"/>
                <w:b w:val="0"/>
                <w:sz w:val="22"/>
              </w:rPr>
              <w:t>部分功能受限</w:t>
            </w:r>
          </w:p>
        </w:tc>
      </w:tr>
      <w:tr>
        <w:tc>
          <w:tcPr>
            <w:tcW w:type="dxa" w:w="2161"/>
          </w:tcPr>
          <w:p>
            <w:pPr>
              <w:jc w:val="center"/>
            </w:pPr>
            <w:r/>
            <w:r>
              <w:rPr>
                <w:rFonts w:ascii="Times New Roman" w:hAnsi="Times New Roman" w:eastAsia="宋体"/>
                <w:b w:val="0"/>
                <w:sz w:val="22"/>
              </w:rPr>
              <w:t>运维依赖</w:t>
            </w:r>
          </w:p>
        </w:tc>
        <w:tc>
          <w:tcPr>
            <w:tcW w:type="dxa" w:w="2161"/>
          </w:tcPr>
          <w:p>
            <w:pPr>
              <w:jc w:val="center"/>
            </w:pPr>
            <w:r/>
            <w:r>
              <w:rPr>
                <w:rFonts w:ascii="Times New Roman" w:hAnsi="Times New Roman" w:eastAsia="宋体"/>
                <w:b w:val="0"/>
                <w:sz w:val="22"/>
              </w:rPr>
              <w:t>农户自主</w:t>
            </w:r>
          </w:p>
        </w:tc>
        <w:tc>
          <w:tcPr>
            <w:tcW w:type="dxa" w:w="2161"/>
          </w:tcPr>
          <w:p>
            <w:pPr>
              <w:jc w:val="center"/>
            </w:pPr>
            <w:r/>
            <w:r>
              <w:rPr>
                <w:rFonts w:ascii="Times New Roman" w:hAnsi="Times New Roman" w:eastAsia="宋体"/>
                <w:b w:val="0"/>
                <w:sz w:val="22"/>
              </w:rPr>
              <w:t>专业厂商</w:t>
            </w:r>
          </w:p>
        </w:tc>
        <w:tc>
          <w:tcPr>
            <w:tcW w:type="dxa" w:w="2161"/>
          </w:tcPr>
          <w:p>
            <w:pPr>
              <w:jc w:val="center"/>
            </w:pPr>
            <w:r/>
            <w:r>
              <w:rPr>
                <w:rFonts w:ascii="Times New Roman" w:hAnsi="Times New Roman" w:eastAsia="宋体"/>
                <w:b w:val="0"/>
                <w:sz w:val="22"/>
              </w:rPr>
              <w:t>厂商售后</w:t>
            </w:r>
          </w:p>
        </w:tc>
      </w:tr>
      <w:tr>
        <w:tc>
          <w:tcPr>
            <w:tcW w:type="dxa" w:w="2161"/>
          </w:tcPr>
          <w:p>
            <w:pPr>
              <w:jc w:val="center"/>
            </w:pPr>
            <w:r/>
            <w:r>
              <w:rPr>
                <w:rFonts w:ascii="Times New Roman" w:hAnsi="Times New Roman" w:eastAsia="宋体"/>
                <w:b w:val="0"/>
                <w:sz w:val="22"/>
              </w:rPr>
              <w:t>扩展灵活性</w:t>
            </w:r>
          </w:p>
        </w:tc>
        <w:tc>
          <w:tcPr>
            <w:tcW w:type="dxa" w:w="2161"/>
          </w:tcPr>
          <w:p>
            <w:pPr>
              <w:jc w:val="center"/>
            </w:pPr>
            <w:r/>
            <w:r>
              <w:rPr>
                <w:rFonts w:ascii="Times New Roman" w:hAnsi="Times New Roman" w:eastAsia="宋体"/>
                <w:b w:val="0"/>
                <w:sz w:val="22"/>
              </w:rPr>
              <w:t>完全可定制</w:t>
            </w:r>
          </w:p>
        </w:tc>
        <w:tc>
          <w:tcPr>
            <w:tcW w:type="dxa" w:w="2161"/>
          </w:tcPr>
          <w:p>
            <w:pPr>
              <w:jc w:val="center"/>
            </w:pPr>
            <w:r/>
            <w:r>
              <w:rPr>
                <w:rFonts w:ascii="Times New Roman" w:hAnsi="Times New Roman" w:eastAsia="宋体"/>
                <w:b w:val="0"/>
                <w:sz w:val="22"/>
              </w:rPr>
              <w:t>受厂商限制</w:t>
            </w:r>
          </w:p>
        </w:tc>
        <w:tc>
          <w:tcPr>
            <w:tcW w:type="dxa" w:w="2161"/>
          </w:tcPr>
          <w:p>
            <w:pPr>
              <w:jc w:val="center"/>
            </w:pPr>
            <w:r/>
            <w:r>
              <w:rPr>
                <w:rFonts w:ascii="Times New Roman" w:hAnsi="Times New Roman" w:eastAsia="宋体"/>
                <w:b w:val="0"/>
                <w:sz w:val="22"/>
              </w:rPr>
              <w:t>有限开放</w:t>
            </w:r>
          </w:p>
        </w:tc>
      </w:tr>
    </w:tbl>
    <w:p>
      <w:pPr>
        <w:spacing w:before="240" w:after="120"/>
      </w:pPr>
      <w:r>
        <w:rPr>
          <w:rFonts w:ascii="Times New Roman" w:hAnsi="Times New Roman" w:eastAsia="黑体"/>
          <w:b/>
          <w:sz w:val="28"/>
        </w:rPr>
        <w:t>4　可行性分析</w:t>
      </w:r>
    </w:p>
    <w:p>
      <w:pPr>
        <w:spacing w:before="120" w:after="80"/>
      </w:pPr>
      <w:r>
        <w:rPr>
          <w:rFonts w:ascii="Times New Roman" w:hAnsi="Times New Roman" w:eastAsia="黑体"/>
          <w:b/>
          <w:sz w:val="24"/>
        </w:rPr>
        <w:t>4.1　技术可行性</w:t>
      </w:r>
    </w:p>
    <w:p>
      <w:pPr>
        <w:spacing w:line="440" w:lineRule="exact" w:after="120"/>
        <w:ind w:firstLine="420"/>
      </w:pPr>
      <w:r>
        <w:rPr>
          <w:rFonts w:ascii="Times New Roman" w:hAnsi="Times New Roman" w:eastAsia="宋体"/>
          <w:b w:val="0"/>
          <w:sz w:val="24"/>
        </w:rPr>
        <w:t>本系统核心硬件组件均选用农业物联网领域验证成熟的器件。主控芯片STM32F103C8T6基于ARM Cortex-M3内核，72MHz主频，片上ADC和定时器资源丰富，能够同时处理多路传感器采集和多路继电器控制任务，HAL库和CubeMX工具链成熟[5]。</w:t>
      </w:r>
    </w:p>
    <w:p>
      <w:pPr>
        <w:spacing w:line="440" w:lineRule="exact" w:after="120"/>
        <w:ind w:firstLine="420"/>
      </w:pPr>
      <w:r>
        <w:rPr>
          <w:rFonts w:ascii="Times New Roman" w:hAnsi="Times New Roman" w:eastAsia="宋体"/>
          <w:b w:val="0"/>
          <w:sz w:val="24"/>
        </w:rPr>
        <w:t>传感器方面，DHT22空气温湿度传感器采用单总线数字输出，已在温室大棚场景中广泛应用；YL-69土壤湿度传感器采用电容式检测原理，相比电阻式探针耐腐蚀性更强，适合长期埋入土中使用；BH1750光照传感器I2C数字输出，分辨率1lx，满足棚内光照监测需求。三款传感器成本合计不足25元，均有大量开源驱动代码可参考[6]。</w:t>
      </w:r>
    </w:p>
    <w:p>
      <w:pPr>
        <w:spacing w:line="440" w:lineRule="exact" w:after="120"/>
        <w:ind w:firstLine="420"/>
      </w:pPr>
      <w:r>
        <w:rPr>
          <w:rFonts w:ascii="Times New Roman" w:hAnsi="Times New Roman" w:eastAsia="宋体"/>
          <w:b w:val="0"/>
          <w:sz w:val="24"/>
        </w:rPr>
        <w:t>通信方面，LoRa（Long Range）是Semtech公司开发的低功耗广域网调制技术，工作在433/470MHz ISM免许可频段，视距通信距离可达3~5km，特别适合农田开阔环境下的多点数据汇聚[7]。本方案采用E32-433T30D LoRa模块，配合STM32实现点对多点星型组网。网关端通过4G DTU或WiFi将数据转发至云平台，MQTT协议保障消息可靠传输。</w:t>
      </w:r>
    </w:p>
    <w:p>
      <w:pPr>
        <w:spacing w:line="440" w:lineRule="exact" w:after="120"/>
        <w:ind w:firstLine="420"/>
      </w:pPr>
      <w:r>
        <w:rPr>
          <w:rFonts w:ascii="Times New Roman" w:hAnsi="Times New Roman" w:eastAsia="宋体"/>
          <w:b w:val="0"/>
          <w:sz w:val="24"/>
        </w:rPr>
        <w:t>综上，系统各技术环节均有成熟方案和丰富资源支撑，技术可行性高。</w:t>
      </w:r>
    </w:p>
    <w:p>
      <w:pPr>
        <w:spacing w:before="120" w:after="80"/>
      </w:pPr>
      <w:r>
        <w:rPr>
          <w:rFonts w:ascii="Times New Roman" w:hAnsi="Times New Roman" w:eastAsia="黑体"/>
          <w:b/>
          <w:sz w:val="24"/>
        </w:rPr>
        <w:t>4.2　经济可行性</w:t>
      </w:r>
    </w:p>
    <w:p>
      <w:pPr>
        <w:spacing w:line="440" w:lineRule="exact" w:after="120"/>
        <w:ind w:firstLine="420"/>
      </w:pPr>
      <w:r>
        <w:rPr>
          <w:rFonts w:ascii="Times New Roman" w:hAnsi="Times New Roman" w:eastAsia="宋体"/>
          <w:b w:val="0"/>
          <w:sz w:val="24"/>
        </w:rPr>
        <w:t>单个大棚节点的硬件物料清单及成本估算如表3所示。</w:t>
      </w:r>
    </w:p>
    <w:p>
      <w:pPr>
        <w:spacing w:before="160" w:after="80"/>
        <w:jc w:val="center"/>
      </w:pPr>
      <w:r>
        <w:rPr>
          <w:rFonts w:ascii="Times New Roman" w:hAnsi="Times New Roman" w:eastAsia="宋体"/>
          <w:b/>
          <w:sz w:val="22"/>
        </w:rPr>
        <w:t>表3　单棚节点硬件成本估算</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Times New Roman" w:hAnsi="Times New Roman" w:eastAsia="宋体"/>
                <w:b/>
                <w:sz w:val="22"/>
              </w:rPr>
              <w:t>器件名称</w:t>
            </w:r>
          </w:p>
        </w:tc>
        <w:tc>
          <w:tcPr>
            <w:tcW w:type="dxa" w:w="2161"/>
          </w:tcPr>
          <w:p>
            <w:pPr>
              <w:jc w:val="center"/>
            </w:pPr>
            <w:r/>
            <w:r>
              <w:rPr>
                <w:rFonts w:ascii="Times New Roman" w:hAnsi="Times New Roman" w:eastAsia="宋体"/>
                <w:b/>
                <w:sz w:val="22"/>
              </w:rPr>
              <w:t>数量</w:t>
            </w:r>
          </w:p>
        </w:tc>
        <w:tc>
          <w:tcPr>
            <w:tcW w:type="dxa" w:w="2161"/>
          </w:tcPr>
          <w:p>
            <w:pPr>
              <w:jc w:val="center"/>
            </w:pPr>
            <w:r/>
            <w:r>
              <w:rPr>
                <w:rFonts w:ascii="Times New Roman" w:hAnsi="Times New Roman" w:eastAsia="宋体"/>
                <w:b/>
                <w:sz w:val="22"/>
              </w:rPr>
              <w:t>单价（元）</w:t>
            </w:r>
          </w:p>
        </w:tc>
        <w:tc>
          <w:tcPr>
            <w:tcW w:type="dxa" w:w="2161"/>
          </w:tcPr>
          <w:p>
            <w:pPr>
              <w:jc w:val="center"/>
            </w:pPr>
            <w:r/>
            <w:r>
              <w:rPr>
                <w:rFonts w:ascii="Times New Roman" w:hAnsi="Times New Roman" w:eastAsia="宋体"/>
                <w:b/>
                <w:sz w:val="22"/>
              </w:rPr>
              <w:t>小计（元）</w:t>
            </w:r>
          </w:p>
        </w:tc>
      </w:tr>
      <w:tr>
        <w:tc>
          <w:tcPr>
            <w:tcW w:type="dxa" w:w="2161"/>
          </w:tcPr>
          <w:p>
            <w:pPr>
              <w:jc w:val="center"/>
            </w:pPr>
            <w:r/>
            <w:r>
              <w:rPr>
                <w:rFonts w:ascii="Times New Roman" w:hAnsi="Times New Roman" w:eastAsia="宋体"/>
                <w:b w:val="0"/>
                <w:sz w:val="22"/>
              </w:rPr>
              <w:t>STM32F103C8T6最小系统板</w:t>
            </w:r>
          </w:p>
        </w:tc>
        <w:tc>
          <w:tcPr>
            <w:tcW w:type="dxa" w:w="2161"/>
          </w:tcPr>
          <w:p>
            <w:pPr>
              <w:jc w:val="center"/>
            </w:pPr>
            <w:r/>
            <w:r>
              <w:rPr>
                <w:rFonts w:ascii="Times New Roman" w:hAnsi="Times New Roman" w:eastAsia="宋体"/>
                <w:b w:val="0"/>
                <w:sz w:val="22"/>
              </w:rPr>
              <w:t>1</w:t>
            </w:r>
          </w:p>
        </w:tc>
        <w:tc>
          <w:tcPr>
            <w:tcW w:type="dxa" w:w="2161"/>
          </w:tcPr>
          <w:p>
            <w:pPr>
              <w:jc w:val="center"/>
            </w:pPr>
            <w:r/>
            <w:r>
              <w:rPr>
                <w:rFonts w:ascii="Times New Roman" w:hAnsi="Times New Roman" w:eastAsia="宋体"/>
                <w:b w:val="0"/>
                <w:sz w:val="22"/>
              </w:rPr>
              <w:t>15</w:t>
            </w:r>
          </w:p>
        </w:tc>
        <w:tc>
          <w:tcPr>
            <w:tcW w:type="dxa" w:w="2161"/>
          </w:tcPr>
          <w:p>
            <w:pPr>
              <w:jc w:val="center"/>
            </w:pPr>
            <w:r/>
            <w:r>
              <w:rPr>
                <w:rFonts w:ascii="Times New Roman" w:hAnsi="Times New Roman" w:eastAsia="宋体"/>
                <w:b w:val="0"/>
                <w:sz w:val="22"/>
              </w:rPr>
              <w:t>15</w:t>
            </w:r>
          </w:p>
        </w:tc>
      </w:tr>
      <w:tr>
        <w:tc>
          <w:tcPr>
            <w:tcW w:type="dxa" w:w="2161"/>
          </w:tcPr>
          <w:p>
            <w:pPr>
              <w:jc w:val="center"/>
            </w:pPr>
            <w:r/>
            <w:r>
              <w:rPr>
                <w:rFonts w:ascii="Times New Roman" w:hAnsi="Times New Roman" w:eastAsia="宋体"/>
                <w:b w:val="0"/>
                <w:sz w:val="22"/>
              </w:rPr>
              <w:t>DHT22空气温湿度传感器</w:t>
            </w:r>
          </w:p>
        </w:tc>
        <w:tc>
          <w:tcPr>
            <w:tcW w:type="dxa" w:w="2161"/>
          </w:tcPr>
          <w:p>
            <w:pPr>
              <w:jc w:val="center"/>
            </w:pPr>
            <w:r/>
            <w:r>
              <w:rPr>
                <w:rFonts w:ascii="Times New Roman" w:hAnsi="Times New Roman" w:eastAsia="宋体"/>
                <w:b w:val="0"/>
                <w:sz w:val="22"/>
              </w:rPr>
              <w:t>1</w:t>
            </w:r>
          </w:p>
        </w:tc>
        <w:tc>
          <w:tcPr>
            <w:tcW w:type="dxa" w:w="2161"/>
          </w:tcPr>
          <w:p>
            <w:pPr>
              <w:jc w:val="center"/>
            </w:pPr>
            <w:r/>
            <w:r>
              <w:rPr>
                <w:rFonts w:ascii="Times New Roman" w:hAnsi="Times New Roman" w:eastAsia="宋体"/>
                <w:b w:val="0"/>
                <w:sz w:val="22"/>
              </w:rPr>
              <w:t>12</w:t>
            </w:r>
          </w:p>
        </w:tc>
        <w:tc>
          <w:tcPr>
            <w:tcW w:type="dxa" w:w="2161"/>
          </w:tcPr>
          <w:p>
            <w:pPr>
              <w:jc w:val="center"/>
            </w:pPr>
            <w:r/>
            <w:r>
              <w:rPr>
                <w:rFonts w:ascii="Times New Roman" w:hAnsi="Times New Roman" w:eastAsia="宋体"/>
                <w:b w:val="0"/>
                <w:sz w:val="22"/>
              </w:rPr>
              <w:t>12</w:t>
            </w:r>
          </w:p>
        </w:tc>
      </w:tr>
      <w:tr>
        <w:tc>
          <w:tcPr>
            <w:tcW w:type="dxa" w:w="2161"/>
          </w:tcPr>
          <w:p>
            <w:pPr>
              <w:jc w:val="center"/>
            </w:pPr>
            <w:r/>
            <w:r>
              <w:rPr>
                <w:rFonts w:ascii="Times New Roman" w:hAnsi="Times New Roman" w:eastAsia="宋体"/>
                <w:b w:val="0"/>
                <w:sz w:val="22"/>
              </w:rPr>
              <w:t>YL-69电容式土壤湿度传感器</w:t>
            </w:r>
          </w:p>
        </w:tc>
        <w:tc>
          <w:tcPr>
            <w:tcW w:type="dxa" w:w="2161"/>
          </w:tcPr>
          <w:p>
            <w:pPr>
              <w:jc w:val="center"/>
            </w:pPr>
            <w:r/>
            <w:r>
              <w:rPr>
                <w:rFonts w:ascii="Times New Roman" w:hAnsi="Times New Roman" w:eastAsia="宋体"/>
                <w:b w:val="0"/>
                <w:sz w:val="22"/>
              </w:rPr>
              <w:t>1</w:t>
            </w:r>
          </w:p>
        </w:tc>
        <w:tc>
          <w:tcPr>
            <w:tcW w:type="dxa" w:w="2161"/>
          </w:tcPr>
          <w:p>
            <w:pPr>
              <w:jc w:val="center"/>
            </w:pPr>
            <w:r/>
            <w:r>
              <w:rPr>
                <w:rFonts w:ascii="Times New Roman" w:hAnsi="Times New Roman" w:eastAsia="宋体"/>
                <w:b w:val="0"/>
                <w:sz w:val="22"/>
              </w:rPr>
              <w:t>5</w:t>
            </w:r>
          </w:p>
        </w:tc>
        <w:tc>
          <w:tcPr>
            <w:tcW w:type="dxa" w:w="2161"/>
          </w:tcPr>
          <w:p>
            <w:pPr>
              <w:jc w:val="center"/>
            </w:pPr>
            <w:r/>
            <w:r>
              <w:rPr>
                <w:rFonts w:ascii="Times New Roman" w:hAnsi="Times New Roman" w:eastAsia="宋体"/>
                <w:b w:val="0"/>
                <w:sz w:val="22"/>
              </w:rPr>
              <w:t>5</w:t>
            </w:r>
          </w:p>
        </w:tc>
      </w:tr>
      <w:tr>
        <w:tc>
          <w:tcPr>
            <w:tcW w:type="dxa" w:w="2161"/>
          </w:tcPr>
          <w:p>
            <w:pPr>
              <w:jc w:val="center"/>
            </w:pPr>
            <w:r/>
            <w:r>
              <w:rPr>
                <w:rFonts w:ascii="Times New Roman" w:hAnsi="Times New Roman" w:eastAsia="宋体"/>
                <w:b w:val="0"/>
                <w:sz w:val="22"/>
              </w:rPr>
              <w:t>BH1750光照传感器模块</w:t>
            </w:r>
          </w:p>
        </w:tc>
        <w:tc>
          <w:tcPr>
            <w:tcW w:type="dxa" w:w="2161"/>
          </w:tcPr>
          <w:p>
            <w:pPr>
              <w:jc w:val="center"/>
            </w:pPr>
            <w:r/>
            <w:r>
              <w:rPr>
                <w:rFonts w:ascii="Times New Roman" w:hAnsi="Times New Roman" w:eastAsia="宋体"/>
                <w:b w:val="0"/>
                <w:sz w:val="22"/>
              </w:rPr>
              <w:t>1</w:t>
            </w:r>
          </w:p>
        </w:tc>
        <w:tc>
          <w:tcPr>
            <w:tcW w:type="dxa" w:w="2161"/>
          </w:tcPr>
          <w:p>
            <w:pPr>
              <w:jc w:val="center"/>
            </w:pPr>
            <w:r/>
            <w:r>
              <w:rPr>
                <w:rFonts w:ascii="Times New Roman" w:hAnsi="Times New Roman" w:eastAsia="宋体"/>
                <w:b w:val="0"/>
                <w:sz w:val="22"/>
              </w:rPr>
              <w:t>6</w:t>
            </w:r>
          </w:p>
        </w:tc>
        <w:tc>
          <w:tcPr>
            <w:tcW w:type="dxa" w:w="2161"/>
          </w:tcPr>
          <w:p>
            <w:pPr>
              <w:jc w:val="center"/>
            </w:pPr>
            <w:r/>
            <w:r>
              <w:rPr>
                <w:rFonts w:ascii="Times New Roman" w:hAnsi="Times New Roman" w:eastAsia="宋体"/>
                <w:b w:val="0"/>
                <w:sz w:val="22"/>
              </w:rPr>
              <w:t>6</w:t>
            </w:r>
          </w:p>
        </w:tc>
      </w:tr>
      <w:tr>
        <w:tc>
          <w:tcPr>
            <w:tcW w:type="dxa" w:w="2161"/>
          </w:tcPr>
          <w:p>
            <w:pPr>
              <w:jc w:val="center"/>
            </w:pPr>
            <w:r/>
            <w:r>
              <w:rPr>
                <w:rFonts w:ascii="Times New Roman" w:hAnsi="Times New Roman" w:eastAsia="宋体"/>
                <w:b w:val="0"/>
                <w:sz w:val="22"/>
              </w:rPr>
              <w:t>LCD1602液晶显示模块</w:t>
            </w:r>
          </w:p>
        </w:tc>
        <w:tc>
          <w:tcPr>
            <w:tcW w:type="dxa" w:w="2161"/>
          </w:tcPr>
          <w:p>
            <w:pPr>
              <w:jc w:val="center"/>
            </w:pPr>
            <w:r/>
            <w:r>
              <w:rPr>
                <w:rFonts w:ascii="Times New Roman" w:hAnsi="Times New Roman" w:eastAsia="宋体"/>
                <w:b w:val="0"/>
                <w:sz w:val="22"/>
              </w:rPr>
              <w:t>1</w:t>
            </w:r>
          </w:p>
        </w:tc>
        <w:tc>
          <w:tcPr>
            <w:tcW w:type="dxa" w:w="2161"/>
          </w:tcPr>
          <w:p>
            <w:pPr>
              <w:jc w:val="center"/>
            </w:pPr>
            <w:r/>
            <w:r>
              <w:rPr>
                <w:rFonts w:ascii="Times New Roman" w:hAnsi="Times New Roman" w:eastAsia="宋体"/>
                <w:b w:val="0"/>
                <w:sz w:val="22"/>
              </w:rPr>
              <w:t>8</w:t>
            </w:r>
          </w:p>
        </w:tc>
        <w:tc>
          <w:tcPr>
            <w:tcW w:type="dxa" w:w="2161"/>
          </w:tcPr>
          <w:p>
            <w:pPr>
              <w:jc w:val="center"/>
            </w:pPr>
            <w:r/>
            <w:r>
              <w:rPr>
                <w:rFonts w:ascii="Times New Roman" w:hAnsi="Times New Roman" w:eastAsia="宋体"/>
                <w:b w:val="0"/>
                <w:sz w:val="22"/>
              </w:rPr>
              <w:t>8</w:t>
            </w:r>
          </w:p>
        </w:tc>
      </w:tr>
      <w:tr>
        <w:tc>
          <w:tcPr>
            <w:tcW w:type="dxa" w:w="2161"/>
          </w:tcPr>
          <w:p>
            <w:pPr>
              <w:jc w:val="center"/>
            </w:pPr>
            <w:r/>
            <w:r>
              <w:rPr>
                <w:rFonts w:ascii="Times New Roman" w:hAnsi="Times New Roman" w:eastAsia="宋体"/>
                <w:b w:val="0"/>
                <w:sz w:val="22"/>
              </w:rPr>
              <w:t>E32-433T30D LoRa模块</w:t>
            </w:r>
          </w:p>
        </w:tc>
        <w:tc>
          <w:tcPr>
            <w:tcW w:type="dxa" w:w="2161"/>
          </w:tcPr>
          <w:p>
            <w:pPr>
              <w:jc w:val="center"/>
            </w:pPr>
            <w:r/>
            <w:r>
              <w:rPr>
                <w:rFonts w:ascii="Times New Roman" w:hAnsi="Times New Roman" w:eastAsia="宋体"/>
                <w:b w:val="0"/>
                <w:sz w:val="22"/>
              </w:rPr>
              <w:t>1</w:t>
            </w:r>
          </w:p>
        </w:tc>
        <w:tc>
          <w:tcPr>
            <w:tcW w:type="dxa" w:w="2161"/>
          </w:tcPr>
          <w:p>
            <w:pPr>
              <w:jc w:val="center"/>
            </w:pPr>
            <w:r/>
            <w:r>
              <w:rPr>
                <w:rFonts w:ascii="Times New Roman" w:hAnsi="Times New Roman" w:eastAsia="宋体"/>
                <w:b w:val="0"/>
                <w:sz w:val="22"/>
              </w:rPr>
              <w:t>25</w:t>
            </w:r>
          </w:p>
        </w:tc>
        <w:tc>
          <w:tcPr>
            <w:tcW w:type="dxa" w:w="2161"/>
          </w:tcPr>
          <w:p>
            <w:pPr>
              <w:jc w:val="center"/>
            </w:pPr>
            <w:r/>
            <w:r>
              <w:rPr>
                <w:rFonts w:ascii="Times New Roman" w:hAnsi="Times New Roman" w:eastAsia="宋体"/>
                <w:b w:val="0"/>
                <w:sz w:val="22"/>
              </w:rPr>
              <w:t>25</w:t>
            </w:r>
          </w:p>
        </w:tc>
      </w:tr>
      <w:tr>
        <w:tc>
          <w:tcPr>
            <w:tcW w:type="dxa" w:w="2161"/>
          </w:tcPr>
          <w:p>
            <w:pPr>
              <w:jc w:val="center"/>
            </w:pPr>
            <w:r/>
            <w:r>
              <w:rPr>
                <w:rFonts w:ascii="Times New Roman" w:hAnsi="Times New Roman" w:eastAsia="宋体"/>
                <w:b w:val="0"/>
                <w:sz w:val="22"/>
              </w:rPr>
              <w:t>4路继电器模块</w:t>
            </w:r>
          </w:p>
        </w:tc>
        <w:tc>
          <w:tcPr>
            <w:tcW w:type="dxa" w:w="2161"/>
          </w:tcPr>
          <w:p>
            <w:pPr>
              <w:jc w:val="center"/>
            </w:pPr>
            <w:r/>
            <w:r>
              <w:rPr>
                <w:rFonts w:ascii="Times New Roman" w:hAnsi="Times New Roman" w:eastAsia="宋体"/>
                <w:b w:val="0"/>
                <w:sz w:val="22"/>
              </w:rPr>
              <w:t>1</w:t>
            </w:r>
          </w:p>
        </w:tc>
        <w:tc>
          <w:tcPr>
            <w:tcW w:type="dxa" w:w="2161"/>
          </w:tcPr>
          <w:p>
            <w:pPr>
              <w:jc w:val="center"/>
            </w:pPr>
            <w:r/>
            <w:r>
              <w:rPr>
                <w:rFonts w:ascii="Times New Roman" w:hAnsi="Times New Roman" w:eastAsia="宋体"/>
                <w:b w:val="0"/>
                <w:sz w:val="22"/>
              </w:rPr>
              <w:t>10</w:t>
            </w:r>
          </w:p>
        </w:tc>
        <w:tc>
          <w:tcPr>
            <w:tcW w:type="dxa" w:w="2161"/>
          </w:tcPr>
          <w:p>
            <w:pPr>
              <w:jc w:val="center"/>
            </w:pPr>
            <w:r/>
            <w:r>
              <w:rPr>
                <w:rFonts w:ascii="Times New Roman" w:hAnsi="Times New Roman" w:eastAsia="宋体"/>
                <w:b w:val="0"/>
                <w:sz w:val="22"/>
              </w:rPr>
              <w:t>10</w:t>
            </w:r>
          </w:p>
        </w:tc>
      </w:tr>
      <w:tr>
        <w:tc>
          <w:tcPr>
            <w:tcW w:type="dxa" w:w="2161"/>
          </w:tcPr>
          <w:p>
            <w:pPr>
              <w:jc w:val="center"/>
            </w:pPr>
            <w:r/>
            <w:r>
              <w:rPr>
                <w:rFonts w:ascii="Times New Roman" w:hAnsi="Times New Roman" w:eastAsia="宋体"/>
                <w:b w:val="0"/>
                <w:sz w:val="22"/>
              </w:rPr>
              <w:t>5V/2A开关电源</w:t>
            </w:r>
          </w:p>
        </w:tc>
        <w:tc>
          <w:tcPr>
            <w:tcW w:type="dxa" w:w="2161"/>
          </w:tcPr>
          <w:p>
            <w:pPr>
              <w:jc w:val="center"/>
            </w:pPr>
            <w:r/>
            <w:r>
              <w:rPr>
                <w:rFonts w:ascii="Times New Roman" w:hAnsi="Times New Roman" w:eastAsia="宋体"/>
                <w:b w:val="0"/>
                <w:sz w:val="22"/>
              </w:rPr>
              <w:t>1</w:t>
            </w:r>
          </w:p>
        </w:tc>
        <w:tc>
          <w:tcPr>
            <w:tcW w:type="dxa" w:w="2161"/>
          </w:tcPr>
          <w:p>
            <w:pPr>
              <w:jc w:val="center"/>
            </w:pPr>
            <w:r/>
            <w:r>
              <w:rPr>
                <w:rFonts w:ascii="Times New Roman" w:hAnsi="Times New Roman" w:eastAsia="宋体"/>
                <w:b w:val="0"/>
                <w:sz w:val="22"/>
              </w:rPr>
              <w:t>10</w:t>
            </w:r>
          </w:p>
        </w:tc>
        <w:tc>
          <w:tcPr>
            <w:tcW w:type="dxa" w:w="2161"/>
          </w:tcPr>
          <w:p>
            <w:pPr>
              <w:jc w:val="center"/>
            </w:pPr>
            <w:r/>
            <w:r>
              <w:rPr>
                <w:rFonts w:ascii="Times New Roman" w:hAnsi="Times New Roman" w:eastAsia="宋体"/>
                <w:b w:val="0"/>
                <w:sz w:val="22"/>
              </w:rPr>
              <w:t>10</w:t>
            </w:r>
          </w:p>
        </w:tc>
      </w:tr>
      <w:tr>
        <w:tc>
          <w:tcPr>
            <w:tcW w:type="dxa" w:w="2161"/>
          </w:tcPr>
          <w:p>
            <w:pPr>
              <w:jc w:val="center"/>
            </w:pPr>
            <w:r/>
            <w:r>
              <w:rPr>
                <w:rFonts w:ascii="Times New Roman" w:hAnsi="Times New Roman" w:eastAsia="宋体"/>
                <w:b w:val="0"/>
                <w:sz w:val="22"/>
              </w:rPr>
              <w:t>防水外壳、线缆、端子</w:t>
            </w:r>
          </w:p>
        </w:tc>
        <w:tc>
          <w:tcPr>
            <w:tcW w:type="dxa" w:w="2161"/>
          </w:tcPr>
          <w:p>
            <w:pPr>
              <w:jc w:val="center"/>
            </w:pPr>
            <w:r/>
            <w:r>
              <w:rPr>
                <w:rFonts w:ascii="Times New Roman" w:hAnsi="Times New Roman" w:eastAsia="宋体"/>
                <w:b w:val="0"/>
                <w:sz w:val="22"/>
              </w:rPr>
              <w:t>1套</w:t>
            </w:r>
          </w:p>
        </w:tc>
        <w:tc>
          <w:tcPr>
            <w:tcW w:type="dxa" w:w="2161"/>
          </w:tcPr>
          <w:p>
            <w:pPr>
              <w:jc w:val="center"/>
            </w:pPr>
            <w:r/>
            <w:r>
              <w:rPr>
                <w:rFonts w:ascii="Times New Roman" w:hAnsi="Times New Roman" w:eastAsia="宋体"/>
                <w:b w:val="0"/>
                <w:sz w:val="22"/>
              </w:rPr>
              <w:t>15</w:t>
            </w:r>
          </w:p>
        </w:tc>
        <w:tc>
          <w:tcPr>
            <w:tcW w:type="dxa" w:w="2161"/>
          </w:tcPr>
          <w:p>
            <w:pPr>
              <w:jc w:val="center"/>
            </w:pPr>
            <w:r/>
            <w:r>
              <w:rPr>
                <w:rFonts w:ascii="Times New Roman" w:hAnsi="Times New Roman" w:eastAsia="宋体"/>
                <w:b w:val="0"/>
                <w:sz w:val="22"/>
              </w:rPr>
              <w:t>15</w:t>
            </w:r>
          </w:p>
        </w:tc>
      </w:tr>
      <w:tr>
        <w:tc>
          <w:tcPr>
            <w:tcW w:type="dxa" w:w="2161"/>
          </w:tcPr>
          <w:p>
            <w:pPr>
              <w:jc w:val="center"/>
            </w:pPr>
            <w:r/>
            <w:r>
              <w:rPr>
                <w:rFonts w:ascii="Times New Roman" w:hAnsi="Times New Roman" w:eastAsia="宋体"/>
                <w:b w:val="0"/>
                <w:sz w:val="22"/>
              </w:rPr>
              <w:t>合计</w:t>
            </w:r>
          </w:p>
        </w:tc>
        <w:tc>
          <w:tcPr>
            <w:tcW w:type="dxa" w:w="2161"/>
          </w:tcPr>
          <w:p>
            <w:pPr>
              <w:jc w:val="center"/>
            </w:pPr>
            <w:r/>
            <w:r>
              <w:rPr>
                <w:rFonts w:ascii="Times New Roman" w:hAnsi="Times New Roman" w:eastAsia="宋体"/>
                <w:b w:val="0"/>
                <w:sz w:val="22"/>
              </w:rPr>
            </w:r>
          </w:p>
        </w:tc>
        <w:tc>
          <w:tcPr>
            <w:tcW w:type="dxa" w:w="2161"/>
          </w:tcPr>
          <w:p>
            <w:pPr>
              <w:jc w:val="center"/>
            </w:pPr>
            <w:r/>
            <w:r>
              <w:rPr>
                <w:rFonts w:ascii="Times New Roman" w:hAnsi="Times New Roman" w:eastAsia="宋体"/>
                <w:b w:val="0"/>
                <w:sz w:val="22"/>
              </w:rPr>
            </w:r>
          </w:p>
        </w:tc>
        <w:tc>
          <w:tcPr>
            <w:tcW w:type="dxa" w:w="2161"/>
          </w:tcPr>
          <w:p>
            <w:pPr>
              <w:jc w:val="center"/>
            </w:pPr>
            <w:r/>
            <w:r>
              <w:rPr>
                <w:rFonts w:ascii="Times New Roman" w:hAnsi="Times New Roman" w:eastAsia="宋体"/>
                <w:b w:val="0"/>
                <w:sz w:val="22"/>
              </w:rPr>
              <w:t>≈106</w:t>
            </w:r>
          </w:p>
        </w:tc>
      </w:tr>
    </w:tbl>
    <w:p>
      <w:pPr>
        <w:spacing w:line="440" w:lineRule="exact" w:after="120"/>
        <w:ind w:firstLine="420"/>
      </w:pPr>
      <w:r>
        <w:rPr>
          <w:rFonts w:ascii="Times New Roman" w:hAnsi="Times New Roman" w:eastAsia="宋体"/>
          <w:b w:val="0"/>
          <w:sz w:val="24"/>
        </w:rPr>
        <w:t>中央网关硬件成本约80元（STM32+LoRa+4G DTU），可由20个棚共享。软件工具全部免费，云平台采用免费版或自建方案。单棚全成本约120元（含网关分摊），10个棚的系统总投入约1500~2000元，远低于商用方案。以一个蔬菜大棚年产值3~5万元计算，系统投入不到年产值的1%，而节水节肥和减少人工巡检带来的收益预计每年可节省2000~5000元，投资回收期不到一年。经济可行性显著。</w:t>
      </w:r>
    </w:p>
    <w:p>
      <w:pPr>
        <w:spacing w:before="120" w:after="80"/>
      </w:pPr>
      <w:r>
        <w:rPr>
          <w:rFonts w:ascii="Times New Roman" w:hAnsi="Times New Roman" w:eastAsia="黑体"/>
          <w:b/>
          <w:sz w:val="24"/>
        </w:rPr>
        <w:t>4.3　操作与实施可行性</w:t>
      </w:r>
    </w:p>
    <w:p>
      <w:pPr>
        <w:spacing w:line="440" w:lineRule="exact" w:after="120"/>
        <w:ind w:firstLine="420"/>
      </w:pPr>
      <w:r>
        <w:rPr>
          <w:rFonts w:ascii="Times New Roman" w:hAnsi="Times New Roman" w:eastAsia="宋体"/>
          <w:b w:val="0"/>
          <w:sz w:val="24"/>
        </w:rPr>
        <w:t>硬件安装方面，节点设备安装在防水外壳内，壁挂或立柱固定于棚内，传感器探头通过线缆引出至检测位置，安装过程无需专业工具，农户参照图文说明即可完成。LoRa天线安装在棚顶，网关部署在管理房内，整套系统无需铺设通信线缆。软件方面，固件通过串口烧录一次后长期运行，自动控制逻辑无需农户干预。手机端采用微信小程序，操作界面以大按钮和图形化展示为主，适合农户使用习惯。后期维护主要是传感器探头的清洁和更换，操作门槛低。</w:t>
      </w:r>
    </w:p>
    <w:p>
      <w:pPr>
        <w:spacing w:before="120" w:after="80"/>
      </w:pPr>
      <w:r>
        <w:rPr>
          <w:rFonts w:ascii="Times New Roman" w:hAnsi="Times New Roman" w:eastAsia="黑体"/>
          <w:b/>
          <w:sz w:val="24"/>
        </w:rPr>
        <w:t>4.4　政策与环境可行性</w:t>
      </w:r>
    </w:p>
    <w:p>
      <w:pPr>
        <w:spacing w:line="440" w:lineRule="exact" w:after="120"/>
        <w:ind w:firstLine="420"/>
      </w:pPr>
      <w:r>
        <w:rPr>
          <w:rFonts w:ascii="Times New Roman" w:hAnsi="Times New Roman" w:eastAsia="宋体"/>
          <w:b w:val="0"/>
          <w:sz w:val="24"/>
        </w:rPr>
        <w:t>本项目与国家智慧农业发展战略高度契合。农业农村部《"十四五"全国农业农村信息化发展规划》明确提出要推进物联网技术在设施农业中的应用，建设数字田园和智慧农场[3]。各地政府陆续出台智慧农业补贴政策，部分地区对设施农业物联网改造给予30%~50%的设备补贴，进一步降低了种植户的实际投入。硬件器件均符合国家标准，LoRa工作在433MHz免许可频段，合法使用无障碍。系统不涉及农药使用和转基因等敏感环节，无政策合规风险。</w:t>
      </w:r>
    </w:p>
    <w:p>
      <w:pPr>
        <w:spacing w:before="120" w:after="80"/>
      </w:pPr>
      <w:r>
        <w:rPr>
          <w:rFonts w:ascii="Times New Roman" w:hAnsi="Times New Roman" w:eastAsia="黑体"/>
          <w:b/>
          <w:sz w:val="24"/>
        </w:rPr>
        <w:t>4.5　风险评估</w:t>
      </w:r>
    </w:p>
    <w:p>
      <w:pPr>
        <w:spacing w:line="440" w:lineRule="exact" w:after="120"/>
        <w:ind w:firstLine="420"/>
      </w:pPr>
      <w:r>
        <w:rPr>
          <w:rFonts w:ascii="Times New Roman" w:hAnsi="Times New Roman" w:eastAsia="宋体"/>
          <w:b w:val="0"/>
          <w:sz w:val="24"/>
        </w:rPr>
        <w:t>项目实施过程中可能面临的主要风险如表4所示。</w:t>
      </w:r>
    </w:p>
    <w:p>
      <w:pPr>
        <w:spacing w:before="160" w:after="80"/>
        <w:jc w:val="center"/>
      </w:pPr>
      <w:r>
        <w:rPr>
          <w:rFonts w:ascii="Times New Roman" w:hAnsi="Times New Roman" w:eastAsia="宋体"/>
          <w:b/>
          <w:sz w:val="22"/>
        </w:rPr>
        <w:t>表4　项目主要风险评估</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Times New Roman" w:hAnsi="Times New Roman" w:eastAsia="宋体"/>
                <w:b/>
                <w:sz w:val="22"/>
              </w:rPr>
              <w:t>风险项</w:t>
            </w:r>
          </w:p>
        </w:tc>
        <w:tc>
          <w:tcPr>
            <w:tcW w:type="dxa" w:w="2882"/>
          </w:tcPr>
          <w:p>
            <w:pPr>
              <w:jc w:val="center"/>
            </w:pPr>
            <w:r/>
            <w:r>
              <w:rPr>
                <w:rFonts w:ascii="Times New Roman" w:hAnsi="Times New Roman" w:eastAsia="宋体"/>
                <w:b/>
                <w:sz w:val="22"/>
              </w:rPr>
              <w:t>等级</w:t>
            </w:r>
          </w:p>
        </w:tc>
        <w:tc>
          <w:tcPr>
            <w:tcW w:type="dxa" w:w="2882"/>
          </w:tcPr>
          <w:p>
            <w:pPr>
              <w:jc w:val="center"/>
            </w:pPr>
            <w:r/>
            <w:r>
              <w:rPr>
                <w:rFonts w:ascii="Times New Roman" w:hAnsi="Times New Roman" w:eastAsia="宋体"/>
                <w:b/>
                <w:sz w:val="22"/>
              </w:rPr>
              <w:t>描述</w:t>
            </w:r>
          </w:p>
        </w:tc>
      </w:tr>
      <w:tr>
        <w:tc>
          <w:tcPr>
            <w:tcW w:type="dxa" w:w="2882"/>
          </w:tcPr>
          <w:p>
            <w:pPr>
              <w:jc w:val="center"/>
            </w:pPr>
            <w:r/>
            <w:r>
              <w:rPr>
                <w:rFonts w:ascii="Times New Roman" w:hAnsi="Times New Roman" w:eastAsia="宋体"/>
                <w:b w:val="0"/>
                <w:sz w:val="22"/>
              </w:rPr>
              <w:t>传感器腐蚀损坏</w:t>
            </w:r>
          </w:p>
        </w:tc>
        <w:tc>
          <w:tcPr>
            <w:tcW w:type="dxa" w:w="2882"/>
          </w:tcPr>
          <w:p>
            <w:pPr>
              <w:jc w:val="center"/>
            </w:pPr>
            <w:r/>
            <w:r>
              <w:rPr>
                <w:rFonts w:ascii="Times New Roman" w:hAnsi="Times New Roman" w:eastAsia="宋体"/>
                <w:b w:val="0"/>
                <w:sz w:val="22"/>
              </w:rPr>
              <w:t>中</w:t>
            </w:r>
          </w:p>
        </w:tc>
        <w:tc>
          <w:tcPr>
            <w:tcW w:type="dxa" w:w="2882"/>
          </w:tcPr>
          <w:p>
            <w:pPr>
              <w:jc w:val="center"/>
            </w:pPr>
            <w:r/>
            <w:r>
              <w:rPr>
                <w:rFonts w:ascii="Times New Roman" w:hAnsi="Times New Roman" w:eastAsia="宋体"/>
                <w:b w:val="0"/>
                <w:sz w:val="22"/>
              </w:rPr>
              <w:t>棚内高湿和农药环境可能加速传感器老化，需做防护封装</w:t>
            </w:r>
          </w:p>
        </w:tc>
      </w:tr>
      <w:tr>
        <w:tc>
          <w:tcPr>
            <w:tcW w:type="dxa" w:w="2882"/>
          </w:tcPr>
          <w:p>
            <w:pPr>
              <w:jc w:val="center"/>
            </w:pPr>
            <w:r/>
            <w:r>
              <w:rPr>
                <w:rFonts w:ascii="Times New Roman" w:hAnsi="Times New Roman" w:eastAsia="宋体"/>
                <w:b w:val="0"/>
                <w:sz w:val="22"/>
              </w:rPr>
              <w:t>LoRa信号遮挡</w:t>
            </w:r>
          </w:p>
        </w:tc>
        <w:tc>
          <w:tcPr>
            <w:tcW w:type="dxa" w:w="2882"/>
          </w:tcPr>
          <w:p>
            <w:pPr>
              <w:jc w:val="center"/>
            </w:pPr>
            <w:r/>
            <w:r>
              <w:rPr>
                <w:rFonts w:ascii="Times New Roman" w:hAnsi="Times New Roman" w:eastAsia="宋体"/>
                <w:b w:val="0"/>
                <w:sz w:val="22"/>
              </w:rPr>
              <w:t>中</w:t>
            </w:r>
          </w:p>
        </w:tc>
        <w:tc>
          <w:tcPr>
            <w:tcW w:type="dxa" w:w="2882"/>
          </w:tcPr>
          <w:p>
            <w:pPr>
              <w:jc w:val="center"/>
            </w:pPr>
            <w:r/>
            <w:r>
              <w:rPr>
                <w:rFonts w:ascii="Times New Roman" w:hAnsi="Times New Roman" w:eastAsia="宋体"/>
                <w:b w:val="0"/>
                <w:sz w:val="22"/>
              </w:rPr>
              <w:t>金属棚架和作物遮挡可能影响信号，需合理规划天线位置</w:t>
            </w:r>
          </w:p>
        </w:tc>
      </w:tr>
      <w:tr>
        <w:tc>
          <w:tcPr>
            <w:tcW w:type="dxa" w:w="2882"/>
          </w:tcPr>
          <w:p>
            <w:pPr>
              <w:jc w:val="center"/>
            </w:pPr>
            <w:r/>
            <w:r>
              <w:rPr>
                <w:rFonts w:ascii="Times New Roman" w:hAnsi="Times New Roman" w:eastAsia="宋体"/>
                <w:b w:val="0"/>
                <w:sz w:val="22"/>
              </w:rPr>
              <w:t>继电器负载过载</w:t>
            </w:r>
          </w:p>
        </w:tc>
        <w:tc>
          <w:tcPr>
            <w:tcW w:type="dxa" w:w="2882"/>
          </w:tcPr>
          <w:p>
            <w:pPr>
              <w:jc w:val="center"/>
            </w:pPr>
            <w:r/>
            <w:r>
              <w:rPr>
                <w:rFonts w:ascii="Times New Roman" w:hAnsi="Times New Roman" w:eastAsia="宋体"/>
                <w:b w:val="0"/>
                <w:sz w:val="22"/>
              </w:rPr>
              <w:t>低</w:t>
            </w:r>
          </w:p>
        </w:tc>
        <w:tc>
          <w:tcPr>
            <w:tcW w:type="dxa" w:w="2882"/>
          </w:tcPr>
          <w:p>
            <w:pPr>
              <w:jc w:val="center"/>
            </w:pPr>
            <w:r/>
            <w:r>
              <w:rPr>
                <w:rFonts w:ascii="Times New Roman" w:hAnsi="Times New Roman" w:eastAsia="宋体"/>
                <w:b w:val="0"/>
                <w:sz w:val="22"/>
              </w:rPr>
              <w:t>水泵和风机启动电流较大，需选用额定容量充足的继电器</w:t>
            </w:r>
          </w:p>
        </w:tc>
      </w:tr>
      <w:tr>
        <w:tc>
          <w:tcPr>
            <w:tcW w:type="dxa" w:w="2882"/>
          </w:tcPr>
          <w:p>
            <w:pPr>
              <w:jc w:val="center"/>
            </w:pPr>
            <w:r/>
            <w:r>
              <w:rPr>
                <w:rFonts w:ascii="Times New Roman" w:hAnsi="Times New Roman" w:eastAsia="宋体"/>
                <w:b w:val="0"/>
                <w:sz w:val="22"/>
              </w:rPr>
              <w:t>雷击浪涌</w:t>
            </w:r>
          </w:p>
        </w:tc>
        <w:tc>
          <w:tcPr>
            <w:tcW w:type="dxa" w:w="2882"/>
          </w:tcPr>
          <w:p>
            <w:pPr>
              <w:jc w:val="center"/>
            </w:pPr>
            <w:r/>
            <w:r>
              <w:rPr>
                <w:rFonts w:ascii="Times New Roman" w:hAnsi="Times New Roman" w:eastAsia="宋体"/>
                <w:b w:val="0"/>
                <w:sz w:val="22"/>
              </w:rPr>
              <w:t>中</w:t>
            </w:r>
          </w:p>
        </w:tc>
        <w:tc>
          <w:tcPr>
            <w:tcW w:type="dxa" w:w="2882"/>
          </w:tcPr>
          <w:p>
            <w:pPr>
              <w:jc w:val="center"/>
            </w:pPr>
            <w:r/>
            <w:r>
              <w:rPr>
                <w:rFonts w:ascii="Times New Roman" w:hAnsi="Times New Roman" w:eastAsia="宋体"/>
                <w:b w:val="0"/>
                <w:sz w:val="22"/>
              </w:rPr>
              <w:t>田间设备易受雷击影响，需加装浪涌保护器</w:t>
            </w:r>
          </w:p>
        </w:tc>
      </w:tr>
      <w:tr>
        <w:tc>
          <w:tcPr>
            <w:tcW w:type="dxa" w:w="2882"/>
          </w:tcPr>
          <w:p>
            <w:pPr>
              <w:jc w:val="center"/>
            </w:pPr>
            <w:r/>
            <w:r>
              <w:rPr>
                <w:rFonts w:ascii="Times New Roman" w:hAnsi="Times New Roman" w:eastAsia="宋体"/>
                <w:b w:val="0"/>
                <w:sz w:val="22"/>
              </w:rPr>
              <w:t>供电不稳/停电</w:t>
            </w:r>
          </w:p>
        </w:tc>
        <w:tc>
          <w:tcPr>
            <w:tcW w:type="dxa" w:w="2882"/>
          </w:tcPr>
          <w:p>
            <w:pPr>
              <w:jc w:val="center"/>
            </w:pPr>
            <w:r/>
            <w:r>
              <w:rPr>
                <w:rFonts w:ascii="Times New Roman" w:hAnsi="Times New Roman" w:eastAsia="宋体"/>
                <w:b w:val="0"/>
                <w:sz w:val="22"/>
              </w:rPr>
              <w:t>中</w:t>
            </w:r>
          </w:p>
        </w:tc>
        <w:tc>
          <w:tcPr>
            <w:tcW w:type="dxa" w:w="2882"/>
          </w:tcPr>
          <w:p>
            <w:pPr>
              <w:jc w:val="center"/>
            </w:pPr>
            <w:r/>
            <w:r>
              <w:rPr>
                <w:rFonts w:ascii="Times New Roman" w:hAnsi="Times New Roman" w:eastAsia="宋体"/>
                <w:b w:val="0"/>
                <w:sz w:val="22"/>
              </w:rPr>
              <w:t>农村电网质量参差不齐，需配备UPS或太阳能备用电源</w:t>
            </w:r>
          </w:p>
        </w:tc>
      </w:tr>
      <w:tr>
        <w:tc>
          <w:tcPr>
            <w:tcW w:type="dxa" w:w="2882"/>
          </w:tcPr>
          <w:p>
            <w:pPr>
              <w:jc w:val="center"/>
            </w:pPr>
            <w:r/>
            <w:r>
              <w:rPr>
                <w:rFonts w:ascii="Times New Roman" w:hAnsi="Times New Roman" w:eastAsia="宋体"/>
                <w:b w:val="0"/>
                <w:sz w:val="22"/>
              </w:rPr>
              <w:t>农户操作失误</w:t>
            </w:r>
          </w:p>
        </w:tc>
        <w:tc>
          <w:tcPr>
            <w:tcW w:type="dxa" w:w="2882"/>
          </w:tcPr>
          <w:p>
            <w:pPr>
              <w:jc w:val="center"/>
            </w:pPr>
            <w:r/>
            <w:r>
              <w:rPr>
                <w:rFonts w:ascii="Times New Roman" w:hAnsi="Times New Roman" w:eastAsia="宋体"/>
                <w:b w:val="0"/>
                <w:sz w:val="22"/>
              </w:rPr>
              <w:t>低</w:t>
            </w:r>
          </w:p>
        </w:tc>
        <w:tc>
          <w:tcPr>
            <w:tcW w:type="dxa" w:w="2882"/>
          </w:tcPr>
          <w:p>
            <w:pPr>
              <w:jc w:val="center"/>
            </w:pPr>
            <w:r/>
            <w:r>
              <w:rPr>
                <w:rFonts w:ascii="Times New Roman" w:hAnsi="Times New Roman" w:eastAsia="宋体"/>
                <w:b w:val="0"/>
                <w:sz w:val="22"/>
              </w:rPr>
              <w:t>界面设计简洁直观，关键操作增加确认提示</w:t>
            </w:r>
          </w:p>
        </w:tc>
      </w:tr>
    </w:tbl>
    <w:p>
      <w:pPr>
        <w:spacing w:before="240" w:after="120"/>
      </w:pPr>
      <w:r>
        <w:rPr>
          <w:rFonts w:ascii="Times New Roman" w:hAnsi="Times New Roman" w:eastAsia="黑体"/>
          <w:b/>
          <w:sz w:val="28"/>
        </w:rPr>
        <w:t>5　实施方案与进度规划</w:t>
      </w:r>
    </w:p>
    <w:p>
      <w:pPr>
        <w:spacing w:line="440" w:lineRule="exact" w:after="120"/>
        <w:ind w:firstLine="420"/>
      </w:pPr>
      <w:r>
        <w:rPr>
          <w:rFonts w:ascii="Times New Roman" w:hAnsi="Times New Roman" w:eastAsia="宋体"/>
          <w:b w:val="0"/>
          <w:sz w:val="24"/>
        </w:rPr>
        <w:t>项目分为七个实施阶段，计划总工期约16周，具体安排如表5所示。</w:t>
      </w:r>
    </w:p>
    <w:p>
      <w:pPr>
        <w:spacing w:before="160" w:after="80"/>
        <w:jc w:val="center"/>
      </w:pPr>
      <w:r>
        <w:rPr>
          <w:rFonts w:ascii="Times New Roman" w:hAnsi="Times New Roman" w:eastAsia="宋体"/>
          <w:b/>
          <w:sz w:val="22"/>
        </w:rPr>
        <w:t>表5　项目实施进度计划</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Times New Roman" w:hAnsi="Times New Roman" w:eastAsia="宋体"/>
                <w:b/>
                <w:sz w:val="22"/>
              </w:rPr>
              <w:t>阶段</w:t>
            </w:r>
          </w:p>
        </w:tc>
        <w:tc>
          <w:tcPr>
            <w:tcW w:type="dxa" w:w="2882"/>
          </w:tcPr>
          <w:p>
            <w:pPr>
              <w:jc w:val="center"/>
            </w:pPr>
            <w:r/>
            <w:r>
              <w:rPr>
                <w:rFonts w:ascii="Times New Roman" w:hAnsi="Times New Roman" w:eastAsia="宋体"/>
                <w:b/>
                <w:sz w:val="22"/>
              </w:rPr>
              <w:t>时间</w:t>
            </w:r>
          </w:p>
        </w:tc>
        <w:tc>
          <w:tcPr>
            <w:tcW w:type="dxa" w:w="2882"/>
          </w:tcPr>
          <w:p>
            <w:pPr>
              <w:jc w:val="center"/>
            </w:pPr>
            <w:r/>
            <w:r>
              <w:rPr>
                <w:rFonts w:ascii="Times New Roman" w:hAnsi="Times New Roman" w:eastAsia="宋体"/>
                <w:b/>
                <w:sz w:val="22"/>
              </w:rPr>
              <w:t>主要工作内容</w:t>
            </w:r>
          </w:p>
        </w:tc>
      </w:tr>
      <w:tr>
        <w:tc>
          <w:tcPr>
            <w:tcW w:type="dxa" w:w="2882"/>
          </w:tcPr>
          <w:p>
            <w:pPr>
              <w:jc w:val="center"/>
            </w:pPr>
            <w:r/>
            <w:r>
              <w:rPr>
                <w:rFonts w:ascii="Times New Roman" w:hAnsi="Times New Roman" w:eastAsia="宋体"/>
                <w:b w:val="0"/>
                <w:sz w:val="22"/>
              </w:rPr>
              <w:t>实地调研</w:t>
            </w:r>
          </w:p>
        </w:tc>
        <w:tc>
          <w:tcPr>
            <w:tcW w:type="dxa" w:w="2882"/>
          </w:tcPr>
          <w:p>
            <w:pPr>
              <w:jc w:val="center"/>
            </w:pPr>
            <w:r/>
            <w:r>
              <w:rPr>
                <w:rFonts w:ascii="Times New Roman" w:hAnsi="Times New Roman" w:eastAsia="宋体"/>
                <w:b w:val="0"/>
                <w:sz w:val="22"/>
              </w:rPr>
              <w:t>第1~2周</w:t>
            </w:r>
          </w:p>
        </w:tc>
        <w:tc>
          <w:tcPr>
            <w:tcW w:type="dxa" w:w="2882"/>
          </w:tcPr>
          <w:p>
            <w:pPr>
              <w:jc w:val="center"/>
            </w:pPr>
            <w:r/>
            <w:r>
              <w:rPr>
                <w:rFonts w:ascii="Times New Roman" w:hAnsi="Times New Roman" w:eastAsia="宋体"/>
                <w:b w:val="0"/>
                <w:sz w:val="22"/>
              </w:rPr>
              <w:t>走访种植户了解管理痛点，确定监测参数和控制需求</w:t>
            </w:r>
          </w:p>
        </w:tc>
      </w:tr>
      <w:tr>
        <w:tc>
          <w:tcPr>
            <w:tcW w:type="dxa" w:w="2882"/>
          </w:tcPr>
          <w:p>
            <w:pPr>
              <w:jc w:val="center"/>
            </w:pPr>
            <w:r/>
            <w:r>
              <w:rPr>
                <w:rFonts w:ascii="Times New Roman" w:hAnsi="Times New Roman" w:eastAsia="宋体"/>
                <w:b w:val="0"/>
                <w:sz w:val="22"/>
              </w:rPr>
              <w:t>方案设计</w:t>
            </w:r>
          </w:p>
        </w:tc>
        <w:tc>
          <w:tcPr>
            <w:tcW w:type="dxa" w:w="2882"/>
          </w:tcPr>
          <w:p>
            <w:pPr>
              <w:jc w:val="center"/>
            </w:pPr>
            <w:r/>
            <w:r>
              <w:rPr>
                <w:rFonts w:ascii="Times New Roman" w:hAnsi="Times New Roman" w:eastAsia="宋体"/>
                <w:b w:val="0"/>
                <w:sz w:val="22"/>
              </w:rPr>
              <w:t>第3~4周</w:t>
            </w:r>
          </w:p>
        </w:tc>
        <w:tc>
          <w:tcPr>
            <w:tcW w:type="dxa" w:w="2882"/>
          </w:tcPr>
          <w:p>
            <w:pPr>
              <w:jc w:val="center"/>
            </w:pPr>
            <w:r/>
            <w:r>
              <w:rPr>
                <w:rFonts w:ascii="Times New Roman" w:hAnsi="Times New Roman" w:eastAsia="宋体"/>
                <w:b w:val="0"/>
                <w:sz w:val="22"/>
              </w:rPr>
              <w:t>系统架构设计、器件选型、控制逻辑设计、电路原理图绘制</w:t>
            </w:r>
          </w:p>
        </w:tc>
      </w:tr>
      <w:tr>
        <w:tc>
          <w:tcPr>
            <w:tcW w:type="dxa" w:w="2882"/>
          </w:tcPr>
          <w:p>
            <w:pPr>
              <w:jc w:val="center"/>
            </w:pPr>
            <w:r/>
            <w:r>
              <w:rPr>
                <w:rFonts w:ascii="Times New Roman" w:hAnsi="Times New Roman" w:eastAsia="宋体"/>
                <w:b w:val="0"/>
                <w:sz w:val="22"/>
              </w:rPr>
              <w:t>原型搭建</w:t>
            </w:r>
          </w:p>
        </w:tc>
        <w:tc>
          <w:tcPr>
            <w:tcW w:type="dxa" w:w="2882"/>
          </w:tcPr>
          <w:p>
            <w:pPr>
              <w:jc w:val="center"/>
            </w:pPr>
            <w:r/>
            <w:r>
              <w:rPr>
                <w:rFonts w:ascii="Times New Roman" w:hAnsi="Times New Roman" w:eastAsia="宋体"/>
                <w:b w:val="0"/>
                <w:sz w:val="22"/>
              </w:rPr>
              <w:t>第5~7周</w:t>
            </w:r>
          </w:p>
        </w:tc>
        <w:tc>
          <w:tcPr>
            <w:tcW w:type="dxa" w:w="2882"/>
          </w:tcPr>
          <w:p>
            <w:pPr>
              <w:jc w:val="center"/>
            </w:pPr>
            <w:r/>
            <w:r>
              <w:rPr>
                <w:rFonts w:ascii="Times New Roman" w:hAnsi="Times New Roman" w:eastAsia="宋体"/>
                <w:b w:val="0"/>
                <w:sz w:val="22"/>
              </w:rPr>
              <w:t>器件采购、单棚硬件搭建、传感器校准、继电器控制调试</w:t>
            </w:r>
          </w:p>
        </w:tc>
      </w:tr>
      <w:tr>
        <w:tc>
          <w:tcPr>
            <w:tcW w:type="dxa" w:w="2882"/>
          </w:tcPr>
          <w:p>
            <w:pPr>
              <w:jc w:val="center"/>
            </w:pPr>
            <w:r/>
            <w:r>
              <w:rPr>
                <w:rFonts w:ascii="Times New Roman" w:hAnsi="Times New Roman" w:eastAsia="宋体"/>
                <w:b w:val="0"/>
                <w:sz w:val="22"/>
              </w:rPr>
              <w:t>软件开发</w:t>
            </w:r>
          </w:p>
        </w:tc>
        <w:tc>
          <w:tcPr>
            <w:tcW w:type="dxa" w:w="2882"/>
          </w:tcPr>
          <w:p>
            <w:pPr>
              <w:jc w:val="center"/>
            </w:pPr>
            <w:r/>
            <w:r>
              <w:rPr>
                <w:rFonts w:ascii="Times New Roman" w:hAnsi="Times New Roman" w:eastAsia="宋体"/>
                <w:b w:val="0"/>
                <w:sz w:val="22"/>
              </w:rPr>
              <w:t>第8~10周</w:t>
            </w:r>
          </w:p>
        </w:tc>
        <w:tc>
          <w:tcPr>
            <w:tcW w:type="dxa" w:w="2882"/>
          </w:tcPr>
          <w:p>
            <w:pPr>
              <w:jc w:val="center"/>
            </w:pPr>
            <w:r/>
            <w:r>
              <w:rPr>
                <w:rFonts w:ascii="Times New Roman" w:hAnsi="Times New Roman" w:eastAsia="宋体"/>
                <w:b w:val="0"/>
                <w:sz w:val="22"/>
              </w:rPr>
              <w:t>固件开发（采集、显示、控制、LoRa通信）、网关程序、云平台对接、小程序开发</w:t>
            </w:r>
          </w:p>
        </w:tc>
      </w:tr>
      <w:tr>
        <w:tc>
          <w:tcPr>
            <w:tcW w:type="dxa" w:w="2882"/>
          </w:tcPr>
          <w:p>
            <w:pPr>
              <w:jc w:val="center"/>
            </w:pPr>
            <w:r/>
            <w:r>
              <w:rPr>
                <w:rFonts w:ascii="Times New Roman" w:hAnsi="Times New Roman" w:eastAsia="宋体"/>
                <w:b w:val="0"/>
                <w:sz w:val="22"/>
              </w:rPr>
              <w:t>单棚测试</w:t>
            </w:r>
          </w:p>
        </w:tc>
        <w:tc>
          <w:tcPr>
            <w:tcW w:type="dxa" w:w="2882"/>
          </w:tcPr>
          <w:p>
            <w:pPr>
              <w:jc w:val="center"/>
            </w:pPr>
            <w:r/>
            <w:r>
              <w:rPr>
                <w:rFonts w:ascii="Times New Roman" w:hAnsi="Times New Roman" w:eastAsia="宋体"/>
                <w:b w:val="0"/>
                <w:sz w:val="22"/>
              </w:rPr>
              <w:t>第11~12周</w:t>
            </w:r>
          </w:p>
        </w:tc>
        <w:tc>
          <w:tcPr>
            <w:tcW w:type="dxa" w:w="2882"/>
          </w:tcPr>
          <w:p>
            <w:pPr>
              <w:jc w:val="center"/>
            </w:pPr>
            <w:r/>
            <w:r>
              <w:rPr>
                <w:rFonts w:ascii="Times New Roman" w:hAnsi="Times New Roman" w:eastAsia="宋体"/>
                <w:b w:val="0"/>
                <w:sz w:val="22"/>
              </w:rPr>
              <w:t>单棚功能测试、自动控制逻辑验证、LoRa通信距离测试</w:t>
            </w:r>
          </w:p>
        </w:tc>
      </w:tr>
      <w:tr>
        <w:tc>
          <w:tcPr>
            <w:tcW w:type="dxa" w:w="2882"/>
          </w:tcPr>
          <w:p>
            <w:pPr>
              <w:jc w:val="center"/>
            </w:pPr>
            <w:r/>
            <w:r>
              <w:rPr>
                <w:rFonts w:ascii="Times New Roman" w:hAnsi="Times New Roman" w:eastAsia="宋体"/>
                <w:b w:val="0"/>
                <w:sz w:val="22"/>
              </w:rPr>
              <w:t>多棚联调</w:t>
            </w:r>
          </w:p>
        </w:tc>
        <w:tc>
          <w:tcPr>
            <w:tcW w:type="dxa" w:w="2882"/>
          </w:tcPr>
          <w:p>
            <w:pPr>
              <w:jc w:val="center"/>
            </w:pPr>
            <w:r/>
            <w:r>
              <w:rPr>
                <w:rFonts w:ascii="Times New Roman" w:hAnsi="Times New Roman" w:eastAsia="宋体"/>
                <w:b w:val="0"/>
                <w:sz w:val="22"/>
              </w:rPr>
              <w:t>第13~14周</w:t>
            </w:r>
          </w:p>
        </w:tc>
        <w:tc>
          <w:tcPr>
            <w:tcW w:type="dxa" w:w="2882"/>
          </w:tcPr>
          <w:p>
            <w:pPr>
              <w:jc w:val="center"/>
            </w:pPr>
            <w:r/>
            <w:r>
              <w:rPr>
                <w:rFonts w:ascii="Times New Roman" w:hAnsi="Times New Roman" w:eastAsia="宋体"/>
                <w:b w:val="0"/>
                <w:sz w:val="22"/>
              </w:rPr>
              <w:t>多棚组网测试、并发数据传输测试、30天长稳测试</w:t>
            </w:r>
          </w:p>
        </w:tc>
      </w:tr>
      <w:tr>
        <w:tc>
          <w:tcPr>
            <w:tcW w:type="dxa" w:w="2882"/>
          </w:tcPr>
          <w:p>
            <w:pPr>
              <w:jc w:val="center"/>
            </w:pPr>
            <w:r/>
            <w:r>
              <w:rPr>
                <w:rFonts w:ascii="Times New Roman" w:hAnsi="Times New Roman" w:eastAsia="宋体"/>
                <w:b w:val="0"/>
                <w:sz w:val="22"/>
              </w:rPr>
              <w:t>现场部署</w:t>
            </w:r>
          </w:p>
        </w:tc>
        <w:tc>
          <w:tcPr>
            <w:tcW w:type="dxa" w:w="2882"/>
          </w:tcPr>
          <w:p>
            <w:pPr>
              <w:jc w:val="center"/>
            </w:pPr>
            <w:r/>
            <w:r>
              <w:rPr>
                <w:rFonts w:ascii="Times New Roman" w:hAnsi="Times New Roman" w:eastAsia="宋体"/>
                <w:b w:val="0"/>
                <w:sz w:val="22"/>
              </w:rPr>
              <w:t>第15~16周</w:t>
            </w:r>
          </w:p>
        </w:tc>
        <w:tc>
          <w:tcPr>
            <w:tcW w:type="dxa" w:w="2882"/>
          </w:tcPr>
          <w:p>
            <w:pPr>
              <w:jc w:val="center"/>
            </w:pPr>
            <w:r/>
            <w:r>
              <w:rPr>
                <w:rFonts w:ascii="Times New Roman" w:hAnsi="Times New Roman" w:eastAsia="宋体"/>
                <w:b w:val="0"/>
                <w:sz w:val="22"/>
              </w:rPr>
              <w:t>多棚批量安装、农户使用培训、技术文档归档</w:t>
            </w:r>
          </w:p>
        </w:tc>
      </w:tr>
    </w:tbl>
    <w:p>
      <w:pPr>
        <w:spacing w:before="240" w:after="120"/>
      </w:pPr>
      <w:r>
        <w:rPr>
          <w:rFonts w:ascii="Times New Roman" w:hAnsi="Times New Roman" w:eastAsia="黑体"/>
          <w:b/>
          <w:sz w:val="28"/>
        </w:rPr>
        <w:t>6　风险应对措施</w:t>
      </w:r>
    </w:p>
    <w:p>
      <w:pPr>
        <w:spacing w:line="440" w:lineRule="exact" w:after="120"/>
        <w:ind w:firstLine="420"/>
      </w:pPr>
      <w:r>
        <w:rPr>
          <w:rFonts w:ascii="Times New Roman" w:hAnsi="Times New Roman" w:eastAsia="宋体"/>
          <w:b w:val="0"/>
          <w:sz w:val="24"/>
        </w:rPr>
        <w:t>针对第4.5节识别的各项风险，制定如下具体应对措施：</w:t>
      </w:r>
    </w:p>
    <w:p>
      <w:pPr>
        <w:spacing w:line="440" w:lineRule="exact" w:after="80"/>
        <w:ind w:firstLine="420"/>
      </w:pPr>
      <w:r>
        <w:rPr>
          <w:rFonts w:ascii="Times New Roman" w:hAnsi="Times New Roman" w:eastAsia="宋体"/>
          <w:b/>
          <w:sz w:val="24"/>
        </w:rPr>
        <w:t>（1）传感器防腐蚀：</w:t>
      </w:r>
      <w:r>
        <w:rPr>
          <w:rFonts w:ascii="Times New Roman" w:hAnsi="Times New Roman" w:eastAsia="宋体"/>
          <w:b w:val="0"/>
          <w:sz w:val="24"/>
        </w:rPr>
        <w:t>空气传感器安装在密封防水壳内，仅留透气孔覆防水透气膜；土壤传感器选用电容式探头（无裸露金属电极），并涂覆三防漆。每季更换一次透气膜，每半年检查一次探头状态。</w:t>
      </w:r>
    </w:p>
    <w:p>
      <w:pPr>
        <w:spacing w:line="440" w:lineRule="exact" w:after="80"/>
        <w:ind w:firstLine="420"/>
      </w:pPr>
      <w:r>
        <w:rPr>
          <w:rFonts w:ascii="Times New Roman" w:hAnsi="Times New Roman" w:eastAsia="宋体"/>
          <w:b/>
          <w:sz w:val="24"/>
        </w:rPr>
        <w:t>（2）LoRa信号优化：</w:t>
      </w:r>
      <w:r>
        <w:rPr>
          <w:rFonts w:ascii="Times New Roman" w:hAnsi="Times New Roman" w:eastAsia="宋体"/>
          <w:b w:val="0"/>
          <w:sz w:val="24"/>
        </w:rPr>
        <w:t>部署前使用LoRa测试仪在棚区进行信号实测，对信号弱区域调整天线高度和朝向。必要时增设LoRa中继节点扩展覆盖。选用高增益弹簧天线或外置吸盘天线替代板载天线。</w:t>
      </w:r>
    </w:p>
    <w:p>
      <w:pPr>
        <w:spacing w:line="440" w:lineRule="exact" w:after="80"/>
        <w:ind w:firstLine="420"/>
      </w:pPr>
      <w:r>
        <w:rPr>
          <w:rFonts w:ascii="Times New Roman" w:hAnsi="Times New Roman" w:eastAsia="宋体"/>
          <w:b/>
          <w:sz w:val="24"/>
        </w:rPr>
        <w:t>（3）继电器容量匹配：</w:t>
      </w:r>
      <w:r>
        <w:rPr>
          <w:rFonts w:ascii="Times New Roman" w:hAnsi="Times New Roman" w:eastAsia="宋体"/>
          <w:b w:val="0"/>
          <w:sz w:val="24"/>
        </w:rPr>
        <w:t>根据水泵和风机的实际功率选型继电器，单路继电器额定负载不低于负载峰值的1.5倍。大功率负载（&gt;2kW）采用交流接触器+继电器组合控制方案。</w:t>
      </w:r>
    </w:p>
    <w:p>
      <w:pPr>
        <w:spacing w:line="440" w:lineRule="exact" w:after="80"/>
        <w:ind w:firstLine="420"/>
      </w:pPr>
      <w:r>
        <w:rPr>
          <w:rFonts w:ascii="Times New Roman" w:hAnsi="Times New Roman" w:eastAsia="宋体"/>
          <w:b/>
          <w:sz w:val="24"/>
        </w:rPr>
        <w:t>（4）雷击防护：</w:t>
      </w:r>
      <w:r>
        <w:rPr>
          <w:rFonts w:ascii="Times New Roman" w:hAnsi="Times New Roman" w:eastAsia="宋体"/>
          <w:b w:val="0"/>
          <w:sz w:val="24"/>
        </w:rPr>
        <w:t>在设备电源入口安装TVS浪涌保护器和气体放电管，LoRa天线端加装同轴避雷器。设备外壳可靠接地。</w:t>
      </w:r>
    </w:p>
    <w:p>
      <w:pPr>
        <w:spacing w:line="440" w:lineRule="exact" w:after="80"/>
        <w:ind w:firstLine="420"/>
      </w:pPr>
      <w:r>
        <w:rPr>
          <w:rFonts w:ascii="Times New Roman" w:hAnsi="Times New Roman" w:eastAsia="宋体"/>
          <w:b/>
          <w:sz w:val="24"/>
        </w:rPr>
        <w:t>（5）供电保障：</w:t>
      </w:r>
      <w:r>
        <w:rPr>
          <w:rFonts w:ascii="Times New Roman" w:hAnsi="Times New Roman" w:eastAsia="宋体"/>
          <w:b w:val="0"/>
          <w:sz w:val="24"/>
        </w:rPr>
        <w:t>为节点设备配备12V/7Ah铅酸备用电池，开关电源带充电管理功能，停电后可维持4~6小时基本监测和控制。有条件的棚区可加装小型太阳能板为电池充电。</w:t>
      </w:r>
    </w:p>
    <w:p>
      <w:pPr>
        <w:spacing w:line="440" w:lineRule="exact" w:after="80"/>
        <w:ind w:firstLine="420"/>
      </w:pPr>
      <w:r>
        <w:rPr>
          <w:rFonts w:ascii="Times New Roman" w:hAnsi="Times New Roman" w:eastAsia="宋体"/>
          <w:b/>
          <w:sz w:val="24"/>
        </w:rPr>
        <w:t>（6）操作简化：</w:t>
      </w:r>
      <w:r>
        <w:rPr>
          <w:rFonts w:ascii="Times New Roman" w:hAnsi="Times New Roman" w:eastAsia="宋体"/>
          <w:b w:val="0"/>
          <w:sz w:val="24"/>
        </w:rPr>
        <w:t>小程序界面采用图标+大字体设计，关键操作（如手动开关水泵）设置二次确认弹窗。首次使用提供图文引导教程。</w:t>
      </w:r>
    </w:p>
    <w:p>
      <w:pPr>
        <w:spacing w:before="240" w:after="120"/>
      </w:pPr>
      <w:r>
        <w:rPr>
          <w:rFonts w:ascii="Times New Roman" w:hAnsi="Times New Roman" w:eastAsia="黑体"/>
          <w:b/>
          <w:sz w:val="28"/>
        </w:rPr>
        <w:t>7　效益分析</w:t>
      </w:r>
    </w:p>
    <w:p>
      <w:pPr>
        <w:spacing w:before="120" w:after="80"/>
      </w:pPr>
      <w:r>
        <w:rPr>
          <w:rFonts w:ascii="Times New Roman" w:hAnsi="Times New Roman" w:eastAsia="黑体"/>
          <w:b/>
          <w:sz w:val="24"/>
        </w:rPr>
        <w:t>7.1　实用效益</w:t>
      </w:r>
    </w:p>
    <w:p>
      <w:pPr>
        <w:spacing w:line="440" w:lineRule="exact" w:after="120"/>
        <w:ind w:firstLine="420"/>
      </w:pPr>
      <w:r>
        <w:rPr>
          <w:rFonts w:ascii="Times New Roman" w:hAnsi="Times New Roman" w:eastAsia="宋体"/>
          <w:b w:val="0"/>
          <w:sz w:val="24"/>
        </w:rPr>
        <w:t>系统投入使用后，种植户可通过手机实时了解各棚环境状况，摆脱"靠天吃饭"的被动管理模式。自动灌溉功能根据土壤实际含水量精准供水，相比传统定时灌溉可节水30%~50%，同时避免过度浇水导致的根系病害。温度自动调控（通风/收帘）减少了人工巡查频次，降低了因夜间温度骤变造成冻害或热害的风险。环境数据的长期积累为种植户优化栽培方案、选择最佳播种和采收时机提供了数据依据。</w:t>
      </w:r>
    </w:p>
    <w:p>
      <w:pPr>
        <w:spacing w:before="120" w:after="80"/>
      </w:pPr>
      <w:r>
        <w:rPr>
          <w:rFonts w:ascii="Times New Roman" w:hAnsi="Times New Roman" w:eastAsia="黑体"/>
          <w:b/>
          <w:sz w:val="24"/>
        </w:rPr>
        <w:t>7.2　推广效益</w:t>
      </w:r>
    </w:p>
    <w:p>
      <w:pPr>
        <w:spacing w:line="440" w:lineRule="exact" w:after="120"/>
        <w:ind w:firstLine="420"/>
      </w:pPr>
      <w:r>
        <w:rPr>
          <w:rFonts w:ascii="Times New Roman" w:hAnsi="Times New Roman" w:eastAsia="宋体"/>
          <w:b w:val="0"/>
          <w:sz w:val="24"/>
        </w:rPr>
        <w:t>系统架构具有高度通用性，更换传感器组合即可适配不同类型大棚和养殖场景。LoRa组网方式使得新建棚区的扩展极为便捷，只需部署新节点即可加入现有网络。极低的单棚成本使得该方案对中小种植户具有强吸引力，具备在县域范围内规模推广的潜力。系统完全开源的技术路线也为农业技术推广部门和涉农院校提供了可参考的教学和推广案例。</w:t>
      </w:r>
    </w:p>
    <w:p>
      <w:pPr>
        <w:spacing w:before="240" w:after="120"/>
      </w:pPr>
      <w:r>
        <w:rPr>
          <w:rFonts w:ascii="Times New Roman" w:hAnsi="Times New Roman" w:eastAsia="黑体"/>
          <w:b/>
          <w:sz w:val="28"/>
        </w:rPr>
        <w:t>8　结论与展望</w:t>
      </w:r>
    </w:p>
    <w:p>
      <w:pPr>
        <w:spacing w:line="440" w:lineRule="exact" w:after="120"/>
        <w:ind w:firstLine="420"/>
      </w:pPr>
      <w:r>
        <w:rPr>
          <w:rFonts w:ascii="Times New Roman" w:hAnsi="Times New Roman" w:eastAsia="宋体"/>
          <w:b w:val="0"/>
          <w:sz w:val="24"/>
        </w:rPr>
        <w:t>本文围绕基于物联网的智慧农业大棚环境监控系统，从需求分析、市场现状、技术可行性、经济可行性、操作可行性、政策合规性和风险评估七个维度进行了全面论证。研究表明，系统采用的STM32+DHT22+YL-69+BH1750+LoRa技术方案成熟可靠，各组件均有大量工程实践案例和开源资源支撑；单棚改造成本约120元（含网关分摊），投资回收期不到一年，经济优势突出；系统支持本地自动控制和远程管理双模式，网络中断不影响基础功能，适应农村网络条件；LoRa无线方案免去了田间布线的麻烦，安装维护简便，适合种植户独立运维；项目方向与国家智慧农业政策导向高度一致。综合评估认为，本项目在技术上可实现、经济上可承受、操作上可落地、政策上有支撑，建议立项实施。</w:t>
      </w:r>
    </w:p>
    <w:p>
      <w:pPr>
        <w:spacing w:line="440" w:lineRule="exact" w:after="120"/>
        <w:ind w:firstLine="420"/>
      </w:pPr>
      <w:r>
        <w:rPr>
          <w:rFonts w:ascii="Times New Roman" w:hAnsi="Times New Roman" w:eastAsia="宋体"/>
          <w:b w:val="0"/>
          <w:sz w:val="24"/>
        </w:rPr>
        <w:t>后续可从以下方向拓展优化：一是引入EC（电导率）和pH传感器，实现土壤肥力的在线监测和精准施肥；二是结合气象站数据和天气预报API，开发基于预测的前瞻性环境调控策略；三是引入图像识别技术，通过摄像头监测作物长势和病虫害早期症状；四是探索边缘计算方案，在网关端部署轻量级AI模型实现更智能的环境决策。</w:t>
      </w:r>
    </w:p>
    <w:p>
      <w:pPr>
        <w:spacing w:before="240" w:after="120"/>
      </w:pPr>
      <w:r>
        <w:rPr>
          <w:rFonts w:ascii="Times New Roman" w:hAnsi="Times New Roman" w:eastAsia="黑体"/>
          <w:b/>
          <w:sz w:val="28"/>
        </w:rPr>
        <w:t>参考文献</w:t>
      </w:r>
    </w:p>
    <w:p>
      <w:pPr>
        <w:spacing w:line="440" w:lineRule="exact" w:after="40"/>
      </w:pPr>
      <w:r>
        <w:rPr>
          <w:rFonts w:ascii="Times New Roman" w:hAnsi="Times New Roman" w:eastAsia="宋体"/>
          <w:b w:val="0"/>
          <w:sz w:val="24"/>
        </w:rPr>
        <w:t>[1] 张福墁. 设施园艺学[M]. 第2版. 北京: 中国农业大学出版社, 2019.</w:t>
      </w:r>
    </w:p>
    <w:p>
      <w:pPr>
        <w:spacing w:line="440" w:lineRule="exact" w:after="40"/>
      </w:pPr>
      <w:r>
        <w:rPr>
          <w:rFonts w:ascii="Times New Roman" w:hAnsi="Times New Roman" w:eastAsia="宋体"/>
          <w:b w:val="0"/>
          <w:sz w:val="24"/>
        </w:rPr>
        <w:t>[2] 孙其博, 刘杰, 黎羴, 等. 物联网: 概念、架构与关键技术研究综述[J]. 北京邮电大学学报, 2010, 33(3): 1-9.</w:t>
      </w:r>
    </w:p>
    <w:p>
      <w:pPr>
        <w:spacing w:line="440" w:lineRule="exact" w:after="40"/>
      </w:pPr>
      <w:r>
        <w:rPr>
          <w:rFonts w:ascii="Times New Roman" w:hAnsi="Times New Roman" w:eastAsia="宋体"/>
          <w:b w:val="0"/>
          <w:sz w:val="24"/>
        </w:rPr>
        <w:t>[3] 农业农村部. "十四五"全国农业农村信息化发展规划[Z]. 2022.</w:t>
      </w:r>
    </w:p>
    <w:p>
      <w:pPr>
        <w:spacing w:line="440" w:lineRule="exact" w:after="40"/>
      </w:pPr>
      <w:r>
        <w:rPr>
          <w:rFonts w:ascii="Times New Roman" w:hAnsi="Times New Roman" w:eastAsia="宋体"/>
          <w:b w:val="0"/>
          <w:sz w:val="24"/>
        </w:rPr>
        <w:t>[4] 李道亮. 物联网与智慧农业[M]. 北京: 科学出版社, 2021.</w:t>
      </w:r>
    </w:p>
    <w:p>
      <w:pPr>
        <w:spacing w:line="440" w:lineRule="exact" w:after="40"/>
      </w:pPr>
      <w:r>
        <w:rPr>
          <w:rFonts w:ascii="Times New Roman" w:hAnsi="Times New Roman" w:eastAsia="宋体"/>
          <w:b w:val="0"/>
          <w:sz w:val="24"/>
        </w:rPr>
        <w:t>[5] STMicroelectronics. STM32F103x8/STM32F103xB Datasheet[Z]. 2023.</w:t>
      </w:r>
    </w:p>
    <w:p>
      <w:pPr>
        <w:spacing w:line="440" w:lineRule="exact" w:after="40"/>
      </w:pPr>
      <w:r>
        <w:rPr>
          <w:rFonts w:ascii="Times New Roman" w:hAnsi="Times New Roman" w:eastAsia="宋体"/>
          <w:b w:val="0"/>
          <w:sz w:val="24"/>
        </w:rPr>
        <w:t>[6] Aosong Electronics. DHT22 Product Manual[Z]. 2021.</w:t>
      </w:r>
    </w:p>
    <w:p>
      <w:pPr>
        <w:spacing w:line="440" w:lineRule="exact" w:after="40"/>
      </w:pPr>
      <w:r>
        <w:rPr>
          <w:rFonts w:ascii="Times New Roman" w:hAnsi="Times New Roman" w:eastAsia="宋体"/>
          <w:b w:val="0"/>
          <w:sz w:val="24"/>
        </w:rPr>
        <w:t>[7] Semtech Corporation. LoRa Modulation Basics[Z]. 2020.</w:t>
      </w:r>
    </w:p>
    <w:p>
      <w:pPr>
        <w:spacing w:line="440" w:lineRule="exact" w:after="40"/>
      </w:pPr>
      <w:r>
        <w:rPr>
          <w:rFonts w:ascii="Times New Roman" w:hAnsi="Times New Roman" w:eastAsia="宋体"/>
          <w:b w:val="0"/>
          <w:sz w:val="24"/>
        </w:rPr>
        <w:t>[8] 国务院. "十四五"推进农业农村现代化规划[Z]. 2022.</w:t>
      </w:r>
    </w:p>
    <w:p>
      <w:pPr>
        <w:spacing w:before="240" w:after="120"/>
      </w:pPr>
      <w:r>
        <w:rPr>
          <w:rFonts w:ascii="Times New Roman" w:hAnsi="Times New Roman" w:eastAsia="黑体"/>
          <w:b/>
          <w:sz w:val="28"/>
        </w:rPr>
        <w:t>实验总结与心得体会</w:t>
      </w:r>
    </w:p>
    <w:p>
      <w:pPr>
        <w:spacing w:line="440" w:lineRule="exact" w:after="120"/>
        <w:ind w:firstLine="420"/>
      </w:pPr>
      <w:r>
        <w:rPr>
          <w:rFonts w:ascii="Times New Roman" w:hAnsi="Times New Roman" w:eastAsia="宋体"/>
          <w:b w:val="0"/>
          <w:sz w:val="24"/>
        </w:rPr>
        <w:t>通过本次实验，我对智慧农业物联网系统的需求分析和可行性论证有了深入理解。撰写过程中最大的收获是学会了将技术方案与实际用户的经济承受能力和使用习惯相结合进行论证，而非单纯追求技术先进性。在调研中我发现，很多种植户对"高科技"设备存在畏惧心理，因此在系统设计中特别强调了离线自动控制和简化操作界面，这一思路贯穿了整篇报告。经济可行性分析中"投资回收期不到一年"的结论让我认识到，好的工程方案不仅技术上可行，更要在经济上让用户"算得过账"。不足之处在于缺乏实地部署的真实数据支撑，后续如有机会应进行小规模试点验证，用实测数据增强论证的可信度。</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