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eastAsia="黑体"/>
          <w:b/>
          <w:sz w:val="36"/>
        </w:rPr>
        <w:t>基于物联网的智能教室环境监测系统可行性研究</w:t>
      </w:r>
    </w:p>
    <w:p>
      <w:pPr>
        <w:spacing w:before="120" w:after="80"/>
        <w:jc w:val="center"/>
      </w:pPr>
      <w:r>
        <w:rPr>
          <w:rFonts w:ascii="Times New Roman" w:hAnsi="Times New Roman" w:eastAsia="黑体"/>
          <w:b/>
          <w:sz w:val="24"/>
        </w:rPr>
        <w:t>摘　要</w:t>
      </w:r>
    </w:p>
    <w:p>
      <w:pPr>
        <w:spacing w:line="440" w:lineRule="exact" w:after="120"/>
        <w:ind w:firstLine="420"/>
      </w:pPr>
      <w:r>
        <w:rPr>
          <w:rFonts w:ascii="Times New Roman" w:hAnsi="Times New Roman" w:eastAsia="宋体"/>
          <w:b w:val="0"/>
          <w:sz w:val="24"/>
        </w:rPr>
        <w:t>教室环境质量直接影响师生的健康状态与教学效率，然而当前大多数教室仍依赖人工开窗通风和经验判断进行环境调控，缺乏科学的数据支撑。本文提出一种基于STM32微控制器的智能教室环境监测系统方案，集成DHT22温湿度传感器、BH1750光照传感器和MH-Z19C CO₂传感器，实现教室环境多参数实时采集与综合分析。系统通过OLED屏幕本地显示各项参数，当指标超出安全阈值时自动触发声光报警，并通过ESP8266 WiFi模块将数据上传至校园物联网云平台，支持教务管理人员通过Web端或移动端远程查看各教室环境状态。本文从功能需求、性能指标、市场现状、技术可行性、经济可行性、操作可行性、政策合规性和风险评估等多维度进行了系统论证，结果表明该方案技术成熟、单教室改造成本约150元、部署简便、运维成本低，具备显著的实用价值和校园推广前景。</w:t>
      </w:r>
    </w:p>
    <w:p>
      <w:pPr>
        <w:spacing w:before="120" w:after="80"/>
        <w:jc w:val="center"/>
      </w:pPr>
      <w:r>
        <w:rPr>
          <w:rFonts w:ascii="Times New Roman" w:hAnsi="Times New Roman" w:eastAsia="黑体"/>
          <w:b/>
          <w:sz w:val="24"/>
        </w:rPr>
        <w:t>关键词</w:t>
      </w:r>
    </w:p>
    <w:p>
      <w:pPr>
        <w:spacing w:line="440" w:lineRule="exact" w:after="120"/>
      </w:pPr>
      <w:r>
        <w:rPr>
          <w:rFonts w:ascii="Times New Roman" w:hAnsi="Times New Roman" w:eastAsia="宋体"/>
          <w:b w:val="0"/>
          <w:sz w:val="24"/>
        </w:rPr>
        <w:t>物联网；智能教室；环境监测；STM32；多传感器融合</w:t>
      </w:r>
    </w:p>
    <w:p>
      <w:pPr>
        <w:spacing w:before="240" w:after="120"/>
      </w:pPr>
      <w:r>
        <w:rPr>
          <w:rFonts w:ascii="Times New Roman" w:hAnsi="Times New Roman" w:eastAsia="黑体"/>
          <w:b/>
          <w:sz w:val="28"/>
        </w:rPr>
        <w:t>1　引言</w:t>
      </w:r>
    </w:p>
    <w:p>
      <w:pPr>
        <w:spacing w:line="440" w:lineRule="exact" w:after="120"/>
        <w:ind w:firstLine="420"/>
      </w:pPr>
      <w:r>
        <w:rPr>
          <w:rFonts w:ascii="Times New Roman" w:hAnsi="Times New Roman" w:eastAsia="宋体"/>
          <w:b w:val="0"/>
          <w:sz w:val="24"/>
        </w:rPr>
        <w:t>教室是学校教学活动的核心场所，其室内环境质量——包括温度、湿度、光照强度和空气新鲜度——直接关系到师生的身体健康、注意力水平和教学效果。国内外多项研究表明，教室CO₂浓度超标会导致学生困倦、注意力下降，光照不足则加重视觉疲劳，温湿度过高或过低均影响学习舒适度[1]。然而，当前绝大多数中小学校和高校教室仍依赖人工方式进行环境管理：教师凭经验开关窗户，照明系统按统一时间表控制，缺少对环境参数的实时感知和科学调控手段。</w:t>
      </w:r>
    </w:p>
    <w:p>
      <w:pPr>
        <w:spacing w:line="440" w:lineRule="exact" w:after="120"/>
        <w:ind w:firstLine="420"/>
      </w:pPr>
      <w:r>
        <w:rPr>
          <w:rFonts w:ascii="Times New Roman" w:hAnsi="Times New Roman" w:eastAsia="宋体"/>
          <w:b w:val="0"/>
          <w:sz w:val="24"/>
        </w:rPr>
        <w:t>随着物联网技术和传感器工艺的成熟，将多参数环境传感与无线通信技术相结合，构建低成本、易部署的教室环境监测系统已成为现实可行的技术路径[2]。教育部和多地教育主管部门近年来陆续发布教室环境卫生标准和智慧校园建设指导意见，为教室环境监测系统的推广应用提供了明确的政策支撑[3]。</w:t>
      </w:r>
    </w:p>
    <w:p>
      <w:pPr>
        <w:spacing w:line="440" w:lineRule="exact" w:after="120"/>
        <w:ind w:firstLine="420"/>
      </w:pPr>
      <w:r>
        <w:rPr>
          <w:rFonts w:ascii="Times New Roman" w:hAnsi="Times New Roman" w:eastAsia="宋体"/>
          <w:b w:val="0"/>
          <w:sz w:val="24"/>
        </w:rPr>
        <w:t>然而，现有商用教室环境监测方案通常采用整体集成设计，单间教室改造成本在数千元以上，且系统封闭、维护依赖厂商，难以满足学校批量改造和长期自主运维的实际需求。鉴于此，本文提出一种基于STM32微控制器和多传感器融合的智能教室环境监测系统方案，从需求分析、技术路线、经济成本、操作实施、政策环境和风险评估等多个维度进行全面可行性论证，为项目的立项决策和实施推进提供参考依据。</w:t>
      </w:r>
    </w:p>
    <w:p>
      <w:pPr>
        <w:spacing w:before="240" w:after="120"/>
      </w:pPr>
      <w:r>
        <w:rPr>
          <w:rFonts w:ascii="Times New Roman" w:hAnsi="Times New Roman" w:eastAsia="黑体"/>
          <w:b/>
          <w:sz w:val="28"/>
        </w:rPr>
        <w:t>2　系统需求分析</w:t>
      </w:r>
    </w:p>
    <w:p>
      <w:pPr>
        <w:spacing w:before="120" w:after="80"/>
      </w:pPr>
      <w:r>
        <w:rPr>
          <w:rFonts w:ascii="Times New Roman" w:hAnsi="Times New Roman" w:eastAsia="黑体"/>
          <w:b/>
          <w:sz w:val="24"/>
        </w:rPr>
        <w:t>2.1　功能需求</w:t>
      </w:r>
    </w:p>
    <w:p>
      <w:pPr>
        <w:spacing w:line="440" w:lineRule="exact" w:after="120"/>
        <w:ind w:firstLine="420"/>
      </w:pPr>
      <w:r>
        <w:rPr>
          <w:rFonts w:ascii="Times New Roman" w:hAnsi="Times New Roman" w:eastAsia="宋体"/>
          <w:b w:val="0"/>
          <w:sz w:val="24"/>
        </w:rPr>
        <w:t>通过对多所学校的实地调研和师生访谈，系统应满足以下功能需求：</w:t>
      </w:r>
    </w:p>
    <w:p>
      <w:pPr>
        <w:spacing w:line="440" w:lineRule="exact" w:after="80"/>
        <w:ind w:firstLine="420"/>
      </w:pPr>
      <w:r>
        <w:rPr>
          <w:rFonts w:ascii="Times New Roman" w:hAnsi="Times New Roman" w:eastAsia="宋体"/>
          <w:b/>
          <w:sz w:val="24"/>
        </w:rPr>
        <w:t>（1）多参数采集：</w:t>
      </w:r>
      <w:r>
        <w:rPr>
          <w:rFonts w:ascii="Times New Roman" w:hAnsi="Times New Roman" w:eastAsia="宋体"/>
          <w:b w:val="0"/>
          <w:sz w:val="24"/>
        </w:rPr>
        <w:t>实时采集教室内的温度、湿度、光照强度和CO₂浓度四项环境参数，采集周期可配置（默认10秒/次）。</w:t>
      </w:r>
    </w:p>
    <w:p>
      <w:pPr>
        <w:spacing w:line="440" w:lineRule="exact" w:after="80"/>
        <w:ind w:firstLine="420"/>
      </w:pPr>
      <w:r>
        <w:rPr>
          <w:rFonts w:ascii="Times New Roman" w:hAnsi="Times New Roman" w:eastAsia="宋体"/>
          <w:b/>
          <w:sz w:val="24"/>
        </w:rPr>
        <w:t>（2）本地显示：</w:t>
      </w:r>
      <w:r>
        <w:rPr>
          <w:rFonts w:ascii="Times New Roman" w:hAnsi="Times New Roman" w:eastAsia="宋体"/>
          <w:b w:val="0"/>
          <w:sz w:val="24"/>
        </w:rPr>
        <w:t>通过1.3寸OLED屏幕分页或分栏显示四项参数的实时数值，界面清晰易读。</w:t>
      </w:r>
    </w:p>
    <w:p>
      <w:pPr>
        <w:spacing w:line="440" w:lineRule="exact" w:after="80"/>
        <w:ind w:firstLine="420"/>
      </w:pPr>
      <w:r>
        <w:rPr>
          <w:rFonts w:ascii="Times New Roman" w:hAnsi="Times New Roman" w:eastAsia="宋体"/>
          <w:b/>
          <w:sz w:val="24"/>
        </w:rPr>
        <w:t>（3）阈值报警：</w:t>
      </w:r>
      <w:r>
        <w:rPr>
          <w:rFonts w:ascii="Times New Roman" w:hAnsi="Times New Roman" w:eastAsia="宋体"/>
          <w:b w:val="0"/>
          <w:sz w:val="24"/>
        </w:rPr>
        <w:t>当任一参数超出预设安全范围时（如CO₂浓度&gt;1000ppm、温度&gt;30℃等），蜂鸣器鸣响、对应指示LED亮起，提醒教室内人员采取措施。</w:t>
      </w:r>
    </w:p>
    <w:p>
      <w:pPr>
        <w:spacing w:line="440" w:lineRule="exact" w:after="80"/>
        <w:ind w:firstLine="420"/>
      </w:pPr>
      <w:r>
        <w:rPr>
          <w:rFonts w:ascii="Times New Roman" w:hAnsi="Times New Roman" w:eastAsia="宋体"/>
          <w:b/>
          <w:sz w:val="24"/>
        </w:rPr>
        <w:t>（4）无线上传：</w:t>
      </w:r>
      <w:r>
        <w:rPr>
          <w:rFonts w:ascii="Times New Roman" w:hAnsi="Times New Roman" w:eastAsia="宋体"/>
          <w:b w:val="0"/>
          <w:sz w:val="24"/>
        </w:rPr>
        <w:t>通过ESP8266模块接入校园WiFi网络，采用MQTT协议将数据推送至云平台，支持多教室数据汇聚管理。</w:t>
      </w:r>
    </w:p>
    <w:p>
      <w:pPr>
        <w:spacing w:line="440" w:lineRule="exact" w:after="80"/>
        <w:ind w:firstLine="420"/>
      </w:pPr>
      <w:r>
        <w:rPr>
          <w:rFonts w:ascii="Times New Roman" w:hAnsi="Times New Roman" w:eastAsia="宋体"/>
          <w:b/>
          <w:sz w:val="24"/>
        </w:rPr>
        <w:t>（5）远程监控：</w:t>
      </w:r>
      <w:r>
        <w:rPr>
          <w:rFonts w:ascii="Times New Roman" w:hAnsi="Times New Roman" w:eastAsia="宋体"/>
          <w:b w:val="0"/>
          <w:sz w:val="24"/>
        </w:rPr>
        <w:t>Web管理端支持按教室、按楼层查看实时环境数据和历史趋势曲线，支持异常教室高亮标注和数据导出。</w:t>
      </w:r>
    </w:p>
    <w:p>
      <w:pPr>
        <w:spacing w:line="440" w:lineRule="exact" w:after="80"/>
        <w:ind w:firstLine="420"/>
      </w:pPr>
      <w:r>
        <w:rPr>
          <w:rFonts w:ascii="Times New Roman" w:hAnsi="Times New Roman" w:eastAsia="宋体"/>
          <w:b/>
          <w:sz w:val="24"/>
        </w:rPr>
        <w:t>（6）联动控制输出：</w:t>
      </w:r>
      <w:r>
        <w:rPr>
          <w:rFonts w:ascii="Times New Roman" w:hAnsi="Times New Roman" w:eastAsia="宋体"/>
          <w:b w:val="0"/>
          <w:sz w:val="24"/>
        </w:rPr>
        <w:t>预留继电器驱动接口，可根据环境参数自动控制风扇、窗帘等外部设备（扩展功能）。</w:t>
      </w:r>
    </w:p>
    <w:p>
      <w:pPr>
        <w:spacing w:before="120" w:after="80"/>
      </w:pPr>
      <w:r>
        <w:rPr>
          <w:rFonts w:ascii="Times New Roman" w:hAnsi="Times New Roman" w:eastAsia="黑体"/>
          <w:b/>
          <w:sz w:val="24"/>
        </w:rPr>
        <w:t>2.2　性能需求</w:t>
      </w:r>
    </w:p>
    <w:p>
      <w:pPr>
        <w:spacing w:line="440" w:lineRule="exact" w:after="120"/>
        <w:ind w:firstLine="420"/>
      </w:pPr>
      <w:r>
        <w:rPr>
          <w:rFonts w:ascii="Times New Roman" w:hAnsi="Times New Roman" w:eastAsia="宋体"/>
          <w:b w:val="0"/>
          <w:sz w:val="24"/>
        </w:rPr>
        <w:t>系统主要性能指标如表1所示。</w:t>
      </w:r>
    </w:p>
    <w:p>
      <w:pPr>
        <w:spacing w:before="160" w:after="80"/>
        <w:jc w:val="center"/>
      </w:pPr>
      <w:r>
        <w:rPr>
          <w:rFonts w:ascii="Times New Roman" w:hAnsi="Times New Roman" w:eastAsia="宋体"/>
          <w:b/>
          <w:sz w:val="22"/>
        </w:rPr>
        <w:t>表1　系统主要性能指标</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Times New Roman" w:hAnsi="Times New Roman" w:eastAsia="宋体"/>
                <w:b/>
                <w:sz w:val="22"/>
              </w:rPr>
              <w:t>性能指标</w:t>
            </w:r>
          </w:p>
        </w:tc>
        <w:tc>
          <w:tcPr>
            <w:tcW w:type="dxa" w:w="4323"/>
          </w:tcPr>
          <w:p>
            <w:pPr>
              <w:jc w:val="center"/>
            </w:pPr>
            <w:r/>
            <w:r>
              <w:rPr>
                <w:rFonts w:ascii="Times New Roman" w:hAnsi="Times New Roman" w:eastAsia="宋体"/>
                <w:b/>
                <w:sz w:val="22"/>
              </w:rPr>
              <w:t>目标值</w:t>
            </w:r>
          </w:p>
        </w:tc>
      </w:tr>
      <w:tr>
        <w:tc>
          <w:tcPr>
            <w:tcW w:type="dxa" w:w="4323"/>
          </w:tcPr>
          <w:p>
            <w:pPr>
              <w:jc w:val="center"/>
            </w:pPr>
            <w:r/>
            <w:r>
              <w:rPr>
                <w:rFonts w:ascii="Times New Roman" w:hAnsi="Times New Roman" w:eastAsia="宋体"/>
                <w:b w:val="0"/>
                <w:sz w:val="22"/>
              </w:rPr>
              <w:t>温度测量范围/精度</w:t>
            </w:r>
          </w:p>
        </w:tc>
        <w:tc>
          <w:tcPr>
            <w:tcW w:type="dxa" w:w="4323"/>
          </w:tcPr>
          <w:p>
            <w:pPr>
              <w:jc w:val="center"/>
            </w:pPr>
            <w:r/>
            <w:r>
              <w:rPr>
                <w:rFonts w:ascii="Times New Roman" w:hAnsi="Times New Roman" w:eastAsia="宋体"/>
                <w:b w:val="0"/>
                <w:sz w:val="22"/>
              </w:rPr>
              <w:t>-40~80℃ / ±0.5℃</w:t>
            </w:r>
          </w:p>
        </w:tc>
      </w:tr>
      <w:tr>
        <w:tc>
          <w:tcPr>
            <w:tcW w:type="dxa" w:w="4323"/>
          </w:tcPr>
          <w:p>
            <w:pPr>
              <w:jc w:val="center"/>
            </w:pPr>
            <w:r/>
            <w:r>
              <w:rPr>
                <w:rFonts w:ascii="Times New Roman" w:hAnsi="Times New Roman" w:eastAsia="宋体"/>
                <w:b w:val="0"/>
                <w:sz w:val="22"/>
              </w:rPr>
              <w:t>湿度测量范围/精度</w:t>
            </w:r>
          </w:p>
        </w:tc>
        <w:tc>
          <w:tcPr>
            <w:tcW w:type="dxa" w:w="4323"/>
          </w:tcPr>
          <w:p>
            <w:pPr>
              <w:jc w:val="center"/>
            </w:pPr>
            <w:r/>
            <w:r>
              <w:rPr>
                <w:rFonts w:ascii="Times New Roman" w:hAnsi="Times New Roman" w:eastAsia="宋体"/>
                <w:b w:val="0"/>
                <w:sz w:val="22"/>
              </w:rPr>
              <w:t>0~100%RH / ±2%RH</w:t>
            </w:r>
          </w:p>
        </w:tc>
      </w:tr>
      <w:tr>
        <w:tc>
          <w:tcPr>
            <w:tcW w:type="dxa" w:w="4323"/>
          </w:tcPr>
          <w:p>
            <w:pPr>
              <w:jc w:val="center"/>
            </w:pPr>
            <w:r/>
            <w:r>
              <w:rPr>
                <w:rFonts w:ascii="Times New Roman" w:hAnsi="Times New Roman" w:eastAsia="宋体"/>
                <w:b w:val="0"/>
                <w:sz w:val="22"/>
              </w:rPr>
              <w:t>光照测量范围/精度</w:t>
            </w:r>
          </w:p>
        </w:tc>
        <w:tc>
          <w:tcPr>
            <w:tcW w:type="dxa" w:w="4323"/>
          </w:tcPr>
          <w:p>
            <w:pPr>
              <w:jc w:val="center"/>
            </w:pPr>
            <w:r/>
            <w:r>
              <w:rPr>
                <w:rFonts w:ascii="Times New Roman" w:hAnsi="Times New Roman" w:eastAsia="宋体"/>
                <w:b w:val="0"/>
                <w:sz w:val="22"/>
              </w:rPr>
              <w:t>1~65535lx / ±20%</w:t>
            </w:r>
          </w:p>
        </w:tc>
      </w:tr>
      <w:tr>
        <w:tc>
          <w:tcPr>
            <w:tcW w:type="dxa" w:w="4323"/>
          </w:tcPr>
          <w:p>
            <w:pPr>
              <w:jc w:val="center"/>
            </w:pPr>
            <w:r/>
            <w:r>
              <w:rPr>
                <w:rFonts w:ascii="Times New Roman" w:hAnsi="Times New Roman" w:eastAsia="宋体"/>
                <w:b w:val="0"/>
                <w:sz w:val="22"/>
              </w:rPr>
              <w:t>CO₂测量范围/精度</w:t>
            </w:r>
          </w:p>
        </w:tc>
        <w:tc>
          <w:tcPr>
            <w:tcW w:type="dxa" w:w="4323"/>
          </w:tcPr>
          <w:p>
            <w:pPr>
              <w:jc w:val="center"/>
            </w:pPr>
            <w:r/>
            <w:r>
              <w:rPr>
                <w:rFonts w:ascii="Times New Roman" w:hAnsi="Times New Roman" w:eastAsia="宋体"/>
                <w:b w:val="0"/>
                <w:sz w:val="22"/>
              </w:rPr>
              <w:t>400~5000ppm / ±50ppm</w:t>
            </w:r>
          </w:p>
        </w:tc>
      </w:tr>
      <w:tr>
        <w:tc>
          <w:tcPr>
            <w:tcW w:type="dxa" w:w="4323"/>
          </w:tcPr>
          <w:p>
            <w:pPr>
              <w:jc w:val="center"/>
            </w:pPr>
            <w:r/>
            <w:r>
              <w:rPr>
                <w:rFonts w:ascii="Times New Roman" w:hAnsi="Times New Roman" w:eastAsia="宋体"/>
                <w:b w:val="0"/>
                <w:sz w:val="22"/>
              </w:rPr>
              <w:t>采集周期</w:t>
            </w:r>
          </w:p>
        </w:tc>
        <w:tc>
          <w:tcPr>
            <w:tcW w:type="dxa" w:w="4323"/>
          </w:tcPr>
          <w:p>
            <w:pPr>
              <w:jc w:val="center"/>
            </w:pPr>
            <w:r/>
            <w:r>
              <w:rPr>
                <w:rFonts w:ascii="Times New Roman" w:hAnsi="Times New Roman" w:eastAsia="宋体"/>
                <w:b w:val="0"/>
                <w:sz w:val="22"/>
              </w:rPr>
              <w:t>可配置，默认10秒/次</w:t>
            </w:r>
          </w:p>
        </w:tc>
      </w:tr>
      <w:tr>
        <w:tc>
          <w:tcPr>
            <w:tcW w:type="dxa" w:w="4323"/>
          </w:tcPr>
          <w:p>
            <w:pPr>
              <w:jc w:val="center"/>
            </w:pPr>
            <w:r/>
            <w:r>
              <w:rPr>
                <w:rFonts w:ascii="Times New Roman" w:hAnsi="Times New Roman" w:eastAsia="宋体"/>
                <w:b w:val="0"/>
                <w:sz w:val="22"/>
              </w:rPr>
              <w:t>报警响应时间</w:t>
            </w:r>
          </w:p>
        </w:tc>
        <w:tc>
          <w:tcPr>
            <w:tcW w:type="dxa" w:w="4323"/>
          </w:tcPr>
          <w:p>
            <w:pPr>
              <w:jc w:val="center"/>
            </w:pPr>
            <w:r/>
            <w:r>
              <w:rPr>
                <w:rFonts w:ascii="Times New Roman" w:hAnsi="Times New Roman" w:eastAsia="宋体"/>
                <w:b w:val="0"/>
                <w:sz w:val="22"/>
              </w:rPr>
              <w:t>超限后≤3秒触发</w:t>
            </w:r>
          </w:p>
        </w:tc>
      </w:tr>
      <w:tr>
        <w:tc>
          <w:tcPr>
            <w:tcW w:type="dxa" w:w="4323"/>
          </w:tcPr>
          <w:p>
            <w:pPr>
              <w:jc w:val="center"/>
            </w:pPr>
            <w:r/>
            <w:r>
              <w:rPr>
                <w:rFonts w:ascii="Times New Roman" w:hAnsi="Times New Roman" w:eastAsia="宋体"/>
                <w:b w:val="0"/>
                <w:sz w:val="22"/>
              </w:rPr>
              <w:t>数据上传成功率</w:t>
            </w:r>
          </w:p>
        </w:tc>
        <w:tc>
          <w:tcPr>
            <w:tcW w:type="dxa" w:w="4323"/>
          </w:tcPr>
          <w:p>
            <w:pPr>
              <w:jc w:val="center"/>
            </w:pPr>
            <w:r/>
            <w:r>
              <w:rPr>
                <w:rFonts w:ascii="Times New Roman" w:hAnsi="Times New Roman" w:eastAsia="宋体"/>
                <w:b w:val="0"/>
                <w:sz w:val="22"/>
              </w:rPr>
              <w:t>≥97%</w:t>
            </w:r>
          </w:p>
        </w:tc>
      </w:tr>
      <w:tr>
        <w:tc>
          <w:tcPr>
            <w:tcW w:type="dxa" w:w="4323"/>
          </w:tcPr>
          <w:p>
            <w:pPr>
              <w:jc w:val="center"/>
            </w:pPr>
            <w:r/>
            <w:r>
              <w:rPr>
                <w:rFonts w:ascii="Times New Roman" w:hAnsi="Times New Roman" w:eastAsia="宋体"/>
                <w:b w:val="0"/>
                <w:sz w:val="22"/>
              </w:rPr>
              <w:t>连续运行时长</w:t>
            </w:r>
          </w:p>
        </w:tc>
        <w:tc>
          <w:tcPr>
            <w:tcW w:type="dxa" w:w="4323"/>
          </w:tcPr>
          <w:p>
            <w:pPr>
              <w:jc w:val="center"/>
            </w:pPr>
            <w:r/>
            <w:r>
              <w:rPr>
                <w:rFonts w:ascii="Times New Roman" w:hAnsi="Times New Roman" w:eastAsia="宋体"/>
                <w:b w:val="0"/>
                <w:sz w:val="22"/>
              </w:rPr>
              <w:t>≥7×24小时无故障</w:t>
            </w:r>
          </w:p>
        </w:tc>
      </w:tr>
      <w:tr>
        <w:tc>
          <w:tcPr>
            <w:tcW w:type="dxa" w:w="4323"/>
          </w:tcPr>
          <w:p>
            <w:pPr>
              <w:jc w:val="center"/>
            </w:pPr>
            <w:r/>
            <w:r>
              <w:rPr>
                <w:rFonts w:ascii="Times New Roman" w:hAnsi="Times New Roman" w:eastAsia="宋体"/>
                <w:b w:val="0"/>
                <w:sz w:val="22"/>
              </w:rPr>
              <w:t>支持并发教室数</w:t>
            </w:r>
          </w:p>
        </w:tc>
        <w:tc>
          <w:tcPr>
            <w:tcW w:type="dxa" w:w="4323"/>
          </w:tcPr>
          <w:p>
            <w:pPr>
              <w:jc w:val="center"/>
            </w:pPr>
            <w:r/>
            <w:r>
              <w:rPr>
                <w:rFonts w:ascii="Times New Roman" w:hAnsi="Times New Roman" w:eastAsia="宋体"/>
                <w:b w:val="0"/>
                <w:sz w:val="22"/>
              </w:rPr>
              <w:t>单网关≥50间</w:t>
            </w:r>
          </w:p>
        </w:tc>
      </w:tr>
    </w:tbl>
    <w:p>
      <w:pPr>
        <w:spacing w:before="120" w:after="80"/>
      </w:pPr>
      <w:r>
        <w:rPr>
          <w:rFonts w:ascii="Times New Roman" w:hAnsi="Times New Roman" w:eastAsia="黑体"/>
          <w:b/>
          <w:sz w:val="24"/>
        </w:rPr>
        <w:t>2.3　使用与环境需求</w:t>
      </w:r>
    </w:p>
    <w:p>
      <w:pPr>
        <w:spacing w:line="440" w:lineRule="exact" w:after="120"/>
        <w:ind w:firstLine="420"/>
      </w:pPr>
      <w:r>
        <w:rPr>
          <w:rFonts w:ascii="Times New Roman" w:hAnsi="Times New Roman" w:eastAsia="宋体"/>
          <w:b w:val="0"/>
          <w:sz w:val="24"/>
        </w:rPr>
        <w:t>设备采用壁挂或吸顶安装方式，供电使用教室现有220V电源经适配器转换为5V DC，安装过程不影响正常教学秩序。传感器探头布置在教室中部1.2~1.5米高度（学生呼吸带附近），以保证CO₂和温湿度测量的代表性。系统适用工作温度0~50℃，适用于普通教室、阶梯教室、实验室、图书馆阅览室等室内教学场所。管理人员通过浏览器即可查看数据，无需安装客户端软件，操作门槛低。</w:t>
      </w:r>
    </w:p>
    <w:p>
      <w:pPr>
        <w:spacing w:before="240" w:after="120"/>
      </w:pPr>
      <w:r>
        <w:rPr>
          <w:rFonts w:ascii="Times New Roman" w:hAnsi="Times New Roman" w:eastAsia="黑体"/>
          <w:b/>
          <w:sz w:val="28"/>
        </w:rPr>
        <w:t>3　市场与应用分析</w:t>
      </w:r>
    </w:p>
    <w:p>
      <w:pPr>
        <w:spacing w:before="120" w:after="80"/>
      </w:pPr>
      <w:r>
        <w:rPr>
          <w:rFonts w:ascii="Times New Roman" w:hAnsi="Times New Roman" w:eastAsia="黑体"/>
          <w:b/>
          <w:sz w:val="24"/>
        </w:rPr>
        <w:t>3.1　应用场景</w:t>
      </w:r>
    </w:p>
    <w:p>
      <w:pPr>
        <w:spacing w:line="440" w:lineRule="exact" w:after="120"/>
        <w:ind w:firstLine="420"/>
      </w:pPr>
      <w:r>
        <w:rPr>
          <w:rFonts w:ascii="Times New Roman" w:hAnsi="Times New Roman" w:eastAsia="宋体"/>
          <w:b w:val="0"/>
          <w:sz w:val="24"/>
        </w:rPr>
        <w:t>本系统主要面向教育领域的室内环境监测场景，具体包括：中小学校普通教室和专用教室；高校教学楼阶梯教室和公共自习室；实验楼和实训室；图书馆和阅览室；学校报告厅和会议室。此外，系统架构经过简单调整后可拓展至幼儿园活动室、培训机构教室、办公写字楼等场所。</w:t>
      </w:r>
    </w:p>
    <w:p>
      <w:pPr>
        <w:spacing w:before="120" w:after="80"/>
      </w:pPr>
      <w:r>
        <w:rPr>
          <w:rFonts w:ascii="Times New Roman" w:hAnsi="Times New Roman" w:eastAsia="黑体"/>
          <w:b/>
          <w:sz w:val="24"/>
        </w:rPr>
        <w:t>3.2　行业现状</w:t>
      </w:r>
    </w:p>
    <w:p>
      <w:pPr>
        <w:spacing w:line="440" w:lineRule="exact" w:after="120"/>
        <w:ind w:firstLine="420"/>
      </w:pPr>
      <w:r>
        <w:rPr>
          <w:rFonts w:ascii="Times New Roman" w:hAnsi="Times New Roman" w:eastAsia="宋体"/>
          <w:b w:val="0"/>
          <w:sz w:val="24"/>
        </w:rPr>
        <w:t>目前教室环境监测领域主要有三类方案。第一类是便携式环境检测仪，仅支持单点手动检测，无法实现持续在线监测和数据积累。第二类是专业楼宇自控系统（如霍尼韦尔、西门子BMS），功能强大但造价高昂，单间教室传感器节点和布线成本通常在3000~8000元，还需配套楼宇自控主机和专业集成商实施，中小学校难以承担。第三类是部分厂商推出的教室专用环境监测套件，价格居中但系统封闭，数据对接需额外付费，后续传感器更换和系统升级均受厂商制约。</w:t>
      </w:r>
    </w:p>
    <w:p>
      <w:pPr>
        <w:spacing w:before="120" w:after="80"/>
      </w:pPr>
      <w:r>
        <w:rPr>
          <w:rFonts w:ascii="Times New Roman" w:hAnsi="Times New Roman" w:eastAsia="黑体"/>
          <w:b/>
          <w:sz w:val="24"/>
        </w:rPr>
        <w:t>3.3　本方案优势</w:t>
      </w:r>
    </w:p>
    <w:p>
      <w:pPr>
        <w:spacing w:line="440" w:lineRule="exact" w:after="120"/>
        <w:ind w:firstLine="420"/>
      </w:pPr>
      <w:r>
        <w:rPr>
          <w:rFonts w:ascii="Times New Roman" w:hAnsi="Times New Roman" w:eastAsia="宋体"/>
          <w:b w:val="0"/>
          <w:sz w:val="24"/>
        </w:rPr>
        <w:t>本方案采用模块化开源设计，具有以下优势：单间教室改造成本控制在150元以内，仅为商用方案的1/20~1/50，具备大规模批量部署的经济可行性；所有硬件器件均为通用模块，学校信息中心教师经简单培训即可自行安装和维护；系统数据存储在校园自建服务器，数据安全可控且便于与校园一卡通、教务系统等对接；开源架构支持学校根据实际需求灵活定制功能。</w:t>
      </w:r>
    </w:p>
    <w:p>
      <w:pPr>
        <w:spacing w:before="160" w:after="80"/>
        <w:jc w:val="center"/>
      </w:pPr>
      <w:r>
        <w:rPr>
          <w:rFonts w:ascii="Times New Roman" w:hAnsi="Times New Roman" w:eastAsia="宋体"/>
          <w:b/>
          <w:sz w:val="22"/>
        </w:rPr>
        <w:t>表2　本方案与主流教室监测方案对比</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Times New Roman" w:hAnsi="Times New Roman" w:eastAsia="宋体"/>
                <w:b/>
                <w:sz w:val="22"/>
              </w:rPr>
              <w:t>对比维度</w:t>
            </w:r>
          </w:p>
        </w:tc>
        <w:tc>
          <w:tcPr>
            <w:tcW w:type="dxa" w:w="2161"/>
          </w:tcPr>
          <w:p>
            <w:pPr>
              <w:jc w:val="center"/>
            </w:pPr>
            <w:r/>
            <w:r>
              <w:rPr>
                <w:rFonts w:ascii="Times New Roman" w:hAnsi="Times New Roman" w:eastAsia="宋体"/>
                <w:b/>
                <w:sz w:val="22"/>
              </w:rPr>
              <w:t>本项目方案</w:t>
            </w:r>
          </w:p>
        </w:tc>
        <w:tc>
          <w:tcPr>
            <w:tcW w:type="dxa" w:w="2161"/>
          </w:tcPr>
          <w:p>
            <w:pPr>
              <w:jc w:val="center"/>
            </w:pPr>
            <w:r/>
            <w:r>
              <w:rPr>
                <w:rFonts w:ascii="Times New Roman" w:hAnsi="Times New Roman" w:eastAsia="宋体"/>
                <w:b/>
                <w:sz w:val="22"/>
              </w:rPr>
              <w:t>楼宇自控方案</w:t>
            </w:r>
          </w:p>
        </w:tc>
        <w:tc>
          <w:tcPr>
            <w:tcW w:type="dxa" w:w="2161"/>
          </w:tcPr>
          <w:p>
            <w:pPr>
              <w:jc w:val="center"/>
            </w:pPr>
            <w:r/>
            <w:r>
              <w:rPr>
                <w:rFonts w:ascii="Times New Roman" w:hAnsi="Times New Roman" w:eastAsia="宋体"/>
                <w:b/>
                <w:sz w:val="22"/>
              </w:rPr>
              <w:t>商用教室方案</w:t>
            </w:r>
          </w:p>
        </w:tc>
      </w:tr>
      <w:tr>
        <w:tc>
          <w:tcPr>
            <w:tcW w:type="dxa" w:w="2161"/>
          </w:tcPr>
          <w:p>
            <w:pPr>
              <w:jc w:val="center"/>
            </w:pPr>
            <w:r/>
            <w:r>
              <w:rPr>
                <w:rFonts w:ascii="Times New Roman" w:hAnsi="Times New Roman" w:eastAsia="宋体"/>
                <w:b w:val="0"/>
                <w:sz w:val="22"/>
              </w:rPr>
              <w:t>单间改造成本</w:t>
            </w:r>
          </w:p>
        </w:tc>
        <w:tc>
          <w:tcPr>
            <w:tcW w:type="dxa" w:w="2161"/>
          </w:tcPr>
          <w:p>
            <w:pPr>
              <w:jc w:val="center"/>
            </w:pPr>
            <w:r/>
            <w:r>
              <w:rPr>
                <w:rFonts w:ascii="Times New Roman" w:hAnsi="Times New Roman" w:eastAsia="宋体"/>
                <w:b w:val="0"/>
                <w:sz w:val="22"/>
              </w:rPr>
              <w:t>≈150元</w:t>
            </w:r>
          </w:p>
        </w:tc>
        <w:tc>
          <w:tcPr>
            <w:tcW w:type="dxa" w:w="2161"/>
          </w:tcPr>
          <w:p>
            <w:pPr>
              <w:jc w:val="center"/>
            </w:pPr>
            <w:r/>
            <w:r>
              <w:rPr>
                <w:rFonts w:ascii="Times New Roman" w:hAnsi="Times New Roman" w:eastAsia="宋体"/>
                <w:b w:val="0"/>
                <w:sz w:val="22"/>
              </w:rPr>
              <w:t>3000~8000元</w:t>
            </w:r>
          </w:p>
        </w:tc>
        <w:tc>
          <w:tcPr>
            <w:tcW w:type="dxa" w:w="2161"/>
          </w:tcPr>
          <w:p>
            <w:pPr>
              <w:jc w:val="center"/>
            </w:pPr>
            <w:r/>
            <w:r>
              <w:rPr>
                <w:rFonts w:ascii="Times New Roman" w:hAnsi="Times New Roman" w:eastAsia="宋体"/>
                <w:b w:val="0"/>
                <w:sz w:val="22"/>
              </w:rPr>
              <w:t>800~2000元</w:t>
            </w:r>
          </w:p>
        </w:tc>
      </w:tr>
      <w:tr>
        <w:tc>
          <w:tcPr>
            <w:tcW w:type="dxa" w:w="2161"/>
          </w:tcPr>
          <w:p>
            <w:pPr>
              <w:jc w:val="center"/>
            </w:pPr>
            <w:r/>
            <w:r>
              <w:rPr>
                <w:rFonts w:ascii="Times New Roman" w:hAnsi="Times New Roman" w:eastAsia="宋体"/>
                <w:b w:val="0"/>
                <w:sz w:val="22"/>
              </w:rPr>
              <w:t>部署周期</w:t>
            </w:r>
          </w:p>
        </w:tc>
        <w:tc>
          <w:tcPr>
            <w:tcW w:type="dxa" w:w="2161"/>
          </w:tcPr>
          <w:p>
            <w:pPr>
              <w:jc w:val="center"/>
            </w:pPr>
            <w:r/>
            <w:r>
              <w:rPr>
                <w:rFonts w:ascii="Times New Roman" w:hAnsi="Times New Roman" w:eastAsia="宋体"/>
                <w:b w:val="0"/>
                <w:sz w:val="22"/>
              </w:rPr>
              <w:t>半天/间</w:t>
            </w:r>
          </w:p>
        </w:tc>
        <w:tc>
          <w:tcPr>
            <w:tcW w:type="dxa" w:w="2161"/>
          </w:tcPr>
          <w:p>
            <w:pPr>
              <w:jc w:val="center"/>
            </w:pPr>
            <w:r/>
            <w:r>
              <w:rPr>
                <w:rFonts w:ascii="Times New Roman" w:hAnsi="Times New Roman" w:eastAsia="宋体"/>
                <w:b w:val="0"/>
                <w:sz w:val="22"/>
              </w:rPr>
              <w:t>需专业施工1~2天/间</w:t>
            </w:r>
          </w:p>
        </w:tc>
        <w:tc>
          <w:tcPr>
            <w:tcW w:type="dxa" w:w="2161"/>
          </w:tcPr>
          <w:p>
            <w:pPr>
              <w:jc w:val="center"/>
            </w:pPr>
            <w:r/>
            <w:r>
              <w:rPr>
                <w:rFonts w:ascii="Times New Roman" w:hAnsi="Times New Roman" w:eastAsia="宋体"/>
                <w:b w:val="0"/>
                <w:sz w:val="22"/>
              </w:rPr>
              <w:t>需厂商安装半天/间</w:t>
            </w:r>
          </w:p>
        </w:tc>
      </w:tr>
      <w:tr>
        <w:tc>
          <w:tcPr>
            <w:tcW w:type="dxa" w:w="2161"/>
          </w:tcPr>
          <w:p>
            <w:pPr>
              <w:jc w:val="center"/>
            </w:pPr>
            <w:r/>
            <w:r>
              <w:rPr>
                <w:rFonts w:ascii="Times New Roman" w:hAnsi="Times New Roman" w:eastAsia="宋体"/>
                <w:b w:val="0"/>
                <w:sz w:val="22"/>
              </w:rPr>
              <w:t>运维依赖</w:t>
            </w:r>
          </w:p>
        </w:tc>
        <w:tc>
          <w:tcPr>
            <w:tcW w:type="dxa" w:w="2161"/>
          </w:tcPr>
          <w:p>
            <w:pPr>
              <w:jc w:val="center"/>
            </w:pPr>
            <w:r/>
            <w:r>
              <w:rPr>
                <w:rFonts w:ascii="Times New Roman" w:hAnsi="Times New Roman" w:eastAsia="宋体"/>
                <w:b w:val="0"/>
                <w:sz w:val="22"/>
              </w:rPr>
              <w:t>学校自主</w:t>
            </w:r>
          </w:p>
        </w:tc>
        <w:tc>
          <w:tcPr>
            <w:tcW w:type="dxa" w:w="2161"/>
          </w:tcPr>
          <w:p>
            <w:pPr>
              <w:jc w:val="center"/>
            </w:pPr>
            <w:r/>
            <w:r>
              <w:rPr>
                <w:rFonts w:ascii="Times New Roman" w:hAnsi="Times New Roman" w:eastAsia="宋体"/>
                <w:b w:val="0"/>
                <w:sz w:val="22"/>
              </w:rPr>
              <w:t>专业集成商</w:t>
            </w:r>
          </w:p>
        </w:tc>
        <w:tc>
          <w:tcPr>
            <w:tcW w:type="dxa" w:w="2161"/>
          </w:tcPr>
          <w:p>
            <w:pPr>
              <w:jc w:val="center"/>
            </w:pPr>
            <w:r/>
            <w:r>
              <w:rPr>
                <w:rFonts w:ascii="Times New Roman" w:hAnsi="Times New Roman" w:eastAsia="宋体"/>
                <w:b w:val="0"/>
                <w:sz w:val="22"/>
              </w:rPr>
              <w:t>厂商售后</w:t>
            </w:r>
          </w:p>
        </w:tc>
      </w:tr>
      <w:tr>
        <w:tc>
          <w:tcPr>
            <w:tcW w:type="dxa" w:w="2161"/>
          </w:tcPr>
          <w:p>
            <w:pPr>
              <w:jc w:val="center"/>
            </w:pPr>
            <w:r/>
            <w:r>
              <w:rPr>
                <w:rFonts w:ascii="Times New Roman" w:hAnsi="Times New Roman" w:eastAsia="宋体"/>
                <w:b w:val="0"/>
                <w:sz w:val="22"/>
              </w:rPr>
              <w:t>数据开放性</w:t>
            </w:r>
          </w:p>
        </w:tc>
        <w:tc>
          <w:tcPr>
            <w:tcW w:type="dxa" w:w="2161"/>
          </w:tcPr>
          <w:p>
            <w:pPr>
              <w:jc w:val="center"/>
            </w:pPr>
            <w:r/>
            <w:r>
              <w:rPr>
                <w:rFonts w:ascii="Times New Roman" w:hAnsi="Times New Roman" w:eastAsia="宋体"/>
                <w:b w:val="0"/>
                <w:sz w:val="22"/>
              </w:rPr>
              <w:t>完全开放</w:t>
            </w:r>
          </w:p>
        </w:tc>
        <w:tc>
          <w:tcPr>
            <w:tcW w:type="dxa" w:w="2161"/>
          </w:tcPr>
          <w:p>
            <w:pPr>
              <w:jc w:val="center"/>
            </w:pPr>
            <w:r/>
            <w:r>
              <w:rPr>
                <w:rFonts w:ascii="Times New Roman" w:hAnsi="Times New Roman" w:eastAsia="宋体"/>
                <w:b w:val="0"/>
                <w:sz w:val="22"/>
              </w:rPr>
              <w:t>部分开放</w:t>
            </w:r>
          </w:p>
        </w:tc>
        <w:tc>
          <w:tcPr>
            <w:tcW w:type="dxa" w:w="2161"/>
          </w:tcPr>
          <w:p>
            <w:pPr>
              <w:jc w:val="center"/>
            </w:pPr>
            <w:r/>
            <w:r>
              <w:rPr>
                <w:rFonts w:ascii="Times New Roman" w:hAnsi="Times New Roman" w:eastAsia="宋体"/>
                <w:b w:val="0"/>
                <w:sz w:val="22"/>
              </w:rPr>
              <w:t>封闭或付费开放</w:t>
            </w:r>
          </w:p>
        </w:tc>
      </w:tr>
      <w:tr>
        <w:tc>
          <w:tcPr>
            <w:tcW w:type="dxa" w:w="2161"/>
          </w:tcPr>
          <w:p>
            <w:pPr>
              <w:jc w:val="center"/>
            </w:pPr>
            <w:r/>
            <w:r>
              <w:rPr>
                <w:rFonts w:ascii="Times New Roman" w:hAnsi="Times New Roman" w:eastAsia="宋体"/>
                <w:b w:val="0"/>
                <w:sz w:val="22"/>
              </w:rPr>
              <w:t>传感器更换成本</w:t>
            </w:r>
          </w:p>
        </w:tc>
        <w:tc>
          <w:tcPr>
            <w:tcW w:type="dxa" w:w="2161"/>
          </w:tcPr>
          <w:p>
            <w:pPr>
              <w:jc w:val="center"/>
            </w:pPr>
            <w:r/>
            <w:r>
              <w:rPr>
                <w:rFonts w:ascii="Times New Roman" w:hAnsi="Times New Roman" w:eastAsia="宋体"/>
                <w:b w:val="0"/>
                <w:sz w:val="22"/>
              </w:rPr>
              <w:t>&lt;30元/只</w:t>
            </w:r>
          </w:p>
        </w:tc>
        <w:tc>
          <w:tcPr>
            <w:tcW w:type="dxa" w:w="2161"/>
          </w:tcPr>
          <w:p>
            <w:pPr>
              <w:jc w:val="center"/>
            </w:pPr>
            <w:r/>
            <w:r>
              <w:rPr>
                <w:rFonts w:ascii="Times New Roman" w:hAnsi="Times New Roman" w:eastAsia="宋体"/>
                <w:b w:val="0"/>
                <w:sz w:val="22"/>
              </w:rPr>
              <w:t>需厂商配件</w:t>
            </w:r>
          </w:p>
        </w:tc>
        <w:tc>
          <w:tcPr>
            <w:tcW w:type="dxa" w:w="2161"/>
          </w:tcPr>
          <w:p>
            <w:pPr>
              <w:jc w:val="center"/>
            </w:pPr>
            <w:r/>
            <w:r>
              <w:rPr>
                <w:rFonts w:ascii="Times New Roman" w:hAnsi="Times New Roman" w:eastAsia="宋体"/>
                <w:b w:val="0"/>
                <w:sz w:val="22"/>
              </w:rPr>
              <w:t>需厂商配件</w:t>
            </w:r>
          </w:p>
        </w:tc>
      </w:tr>
      <w:tr>
        <w:tc>
          <w:tcPr>
            <w:tcW w:type="dxa" w:w="2161"/>
          </w:tcPr>
          <w:p>
            <w:pPr>
              <w:jc w:val="center"/>
            </w:pPr>
            <w:r/>
            <w:r>
              <w:rPr>
                <w:rFonts w:ascii="Times New Roman" w:hAnsi="Times New Roman" w:eastAsia="宋体"/>
                <w:b w:val="0"/>
                <w:sz w:val="22"/>
              </w:rPr>
              <w:t>扩展定制能力</w:t>
            </w:r>
          </w:p>
        </w:tc>
        <w:tc>
          <w:tcPr>
            <w:tcW w:type="dxa" w:w="2161"/>
          </w:tcPr>
          <w:p>
            <w:pPr>
              <w:jc w:val="center"/>
            </w:pPr>
            <w:r/>
            <w:r>
              <w:rPr>
                <w:rFonts w:ascii="Times New Roman" w:hAnsi="Times New Roman" w:eastAsia="宋体"/>
                <w:b w:val="0"/>
                <w:sz w:val="22"/>
              </w:rPr>
              <w:t>完全可定制</w:t>
            </w:r>
          </w:p>
        </w:tc>
        <w:tc>
          <w:tcPr>
            <w:tcW w:type="dxa" w:w="2161"/>
          </w:tcPr>
          <w:p>
            <w:pPr>
              <w:jc w:val="center"/>
            </w:pPr>
            <w:r/>
            <w:r>
              <w:rPr>
                <w:rFonts w:ascii="Times New Roman" w:hAnsi="Times New Roman" w:eastAsia="宋体"/>
                <w:b w:val="0"/>
                <w:sz w:val="22"/>
              </w:rPr>
              <w:t>受厂商限制</w:t>
            </w:r>
          </w:p>
        </w:tc>
        <w:tc>
          <w:tcPr>
            <w:tcW w:type="dxa" w:w="2161"/>
          </w:tcPr>
          <w:p>
            <w:pPr>
              <w:jc w:val="center"/>
            </w:pPr>
            <w:r/>
            <w:r>
              <w:rPr>
                <w:rFonts w:ascii="Times New Roman" w:hAnsi="Times New Roman" w:eastAsia="宋体"/>
                <w:b w:val="0"/>
                <w:sz w:val="22"/>
              </w:rPr>
              <w:t>有限定制</w:t>
            </w:r>
          </w:p>
        </w:tc>
      </w:tr>
    </w:tbl>
    <w:p>
      <w:pPr>
        <w:spacing w:before="240" w:after="120"/>
      </w:pPr>
      <w:r>
        <w:rPr>
          <w:rFonts w:ascii="Times New Roman" w:hAnsi="Times New Roman" w:eastAsia="黑体"/>
          <w:b/>
          <w:sz w:val="28"/>
        </w:rPr>
        <w:t>4　可行性分析</w:t>
      </w:r>
    </w:p>
    <w:p>
      <w:pPr>
        <w:spacing w:before="120" w:after="80"/>
      </w:pPr>
      <w:r>
        <w:rPr>
          <w:rFonts w:ascii="Times New Roman" w:hAnsi="Times New Roman" w:eastAsia="黑体"/>
          <w:b/>
          <w:sz w:val="24"/>
        </w:rPr>
        <w:t>4.1　技术可行性</w:t>
      </w:r>
    </w:p>
    <w:p>
      <w:pPr>
        <w:spacing w:line="440" w:lineRule="exact" w:after="120"/>
        <w:ind w:firstLine="420"/>
      </w:pPr>
      <w:r>
        <w:rPr>
          <w:rFonts w:ascii="Times New Roman" w:hAnsi="Times New Roman" w:eastAsia="宋体"/>
          <w:b w:val="0"/>
          <w:sz w:val="24"/>
        </w:rPr>
        <w:t>本系统所采用的硬件和软件技术均经过广泛的工程验证。主控芯片STM32F103C8T6基于ARM Cortex-M3内核，主频72MHz，具备丰富的外设接口（I2C、USART、ADC等），可同时驱动多个传感器和通信模块，HAL库和CubeMX配置工具大幅简化了底层开发工作[4]。</w:t>
      </w:r>
    </w:p>
    <w:p>
      <w:pPr>
        <w:spacing w:line="440" w:lineRule="exact" w:after="120"/>
        <w:ind w:firstLine="420"/>
      </w:pPr>
      <w:r>
        <w:rPr>
          <w:rFonts w:ascii="Times New Roman" w:hAnsi="Times New Roman" w:eastAsia="宋体"/>
          <w:b w:val="0"/>
          <w:sz w:val="24"/>
        </w:rPr>
        <w:t>传感器方面，DHT22温湿度传感器采用单总线数字输出，接口简单可靠；BH1750光照传感器通过I2C接口输出16位照度数据，分辨率可达1lx，满足教室光照检测需求；MH-Z19C为NDIR红外CO₂传感器，精度±50ppm，寿命超过5年，是教室CO₂检测的主流选择[5]。三款传感器均有成熟的Arduino和STM32驱动库，开源社区资源丰富。</w:t>
      </w:r>
    </w:p>
    <w:p>
      <w:pPr>
        <w:spacing w:line="440" w:lineRule="exact" w:after="120"/>
        <w:ind w:firstLine="420"/>
      </w:pPr>
      <w:r>
        <w:rPr>
          <w:rFonts w:ascii="Times New Roman" w:hAnsi="Times New Roman" w:eastAsia="宋体"/>
          <w:b w:val="0"/>
          <w:sz w:val="24"/>
        </w:rPr>
        <w:t>通信层采用ESP8266 WiFi模块配合MQTT协议实现数据上云，MQTT作为物联网领域最主流的轻量级消息协议，具备低带宽、低功耗、高可靠的特点，OneNet、EMQX、阿里云IoT等平台均原生支持[6][7]。Web前端采用ECharts图表库绘制数据曲线，后端使用轻量级框架即可支撑50间以上教室的并发数据接入。</w:t>
      </w:r>
    </w:p>
    <w:p>
      <w:pPr>
        <w:spacing w:line="440" w:lineRule="exact" w:after="120"/>
        <w:ind w:firstLine="420"/>
      </w:pPr>
      <w:r>
        <w:rPr>
          <w:rFonts w:ascii="Times New Roman" w:hAnsi="Times New Roman" w:eastAsia="宋体"/>
          <w:b w:val="0"/>
          <w:sz w:val="24"/>
        </w:rPr>
        <w:t>综合以上分析，系统所涉及的核心技术组件均成熟可靠，配套开发资源充足，功能实现有充分保障。</w:t>
      </w:r>
    </w:p>
    <w:p>
      <w:pPr>
        <w:spacing w:before="120" w:after="80"/>
      </w:pPr>
      <w:r>
        <w:rPr>
          <w:rFonts w:ascii="Times New Roman" w:hAnsi="Times New Roman" w:eastAsia="黑体"/>
          <w:b/>
          <w:sz w:val="24"/>
        </w:rPr>
        <w:t>4.2　经济可行性</w:t>
      </w:r>
    </w:p>
    <w:p>
      <w:pPr>
        <w:spacing w:line="440" w:lineRule="exact" w:after="120"/>
        <w:ind w:firstLine="420"/>
      </w:pPr>
      <w:r>
        <w:rPr>
          <w:rFonts w:ascii="Times New Roman" w:hAnsi="Times New Roman" w:eastAsia="宋体"/>
          <w:b w:val="0"/>
          <w:sz w:val="24"/>
        </w:rPr>
        <w:t>单间教室的硬件物料清单及成本估算如表3所示。</w:t>
      </w:r>
    </w:p>
    <w:p>
      <w:pPr>
        <w:spacing w:before="160" w:after="80"/>
        <w:jc w:val="center"/>
      </w:pPr>
      <w:r>
        <w:rPr>
          <w:rFonts w:ascii="Times New Roman" w:hAnsi="Times New Roman" w:eastAsia="宋体"/>
          <w:b/>
          <w:sz w:val="22"/>
        </w:rPr>
        <w:t>表3　单间教室硬件成本估算</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Times New Roman" w:hAnsi="Times New Roman" w:eastAsia="宋体"/>
                <w:b/>
                <w:sz w:val="22"/>
              </w:rPr>
              <w:t>器件名称</w:t>
            </w:r>
          </w:p>
        </w:tc>
        <w:tc>
          <w:tcPr>
            <w:tcW w:type="dxa" w:w="2161"/>
          </w:tcPr>
          <w:p>
            <w:pPr>
              <w:jc w:val="center"/>
            </w:pPr>
            <w:r/>
            <w:r>
              <w:rPr>
                <w:rFonts w:ascii="Times New Roman" w:hAnsi="Times New Roman" w:eastAsia="宋体"/>
                <w:b/>
                <w:sz w:val="22"/>
              </w:rPr>
              <w:t>数量</w:t>
            </w:r>
          </w:p>
        </w:tc>
        <w:tc>
          <w:tcPr>
            <w:tcW w:type="dxa" w:w="2161"/>
          </w:tcPr>
          <w:p>
            <w:pPr>
              <w:jc w:val="center"/>
            </w:pPr>
            <w:r/>
            <w:r>
              <w:rPr>
                <w:rFonts w:ascii="Times New Roman" w:hAnsi="Times New Roman" w:eastAsia="宋体"/>
                <w:b/>
                <w:sz w:val="22"/>
              </w:rPr>
              <w:t>单价（元）</w:t>
            </w:r>
          </w:p>
        </w:tc>
        <w:tc>
          <w:tcPr>
            <w:tcW w:type="dxa" w:w="2161"/>
          </w:tcPr>
          <w:p>
            <w:pPr>
              <w:jc w:val="center"/>
            </w:pPr>
            <w:r/>
            <w:r>
              <w:rPr>
                <w:rFonts w:ascii="Times New Roman" w:hAnsi="Times New Roman" w:eastAsia="宋体"/>
                <w:b/>
                <w:sz w:val="22"/>
              </w:rPr>
              <w:t>小计（元）</w:t>
            </w:r>
          </w:p>
        </w:tc>
      </w:tr>
      <w:tr>
        <w:tc>
          <w:tcPr>
            <w:tcW w:type="dxa" w:w="2161"/>
          </w:tcPr>
          <w:p>
            <w:pPr>
              <w:jc w:val="center"/>
            </w:pPr>
            <w:r/>
            <w:r>
              <w:rPr>
                <w:rFonts w:ascii="Times New Roman" w:hAnsi="Times New Roman" w:eastAsia="宋体"/>
                <w:b w:val="0"/>
                <w:sz w:val="22"/>
              </w:rPr>
              <w:t>STM32F103C8T6最小系统板</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15</w:t>
            </w:r>
          </w:p>
        </w:tc>
        <w:tc>
          <w:tcPr>
            <w:tcW w:type="dxa" w:w="2161"/>
          </w:tcPr>
          <w:p>
            <w:pPr>
              <w:jc w:val="center"/>
            </w:pPr>
            <w:r/>
            <w:r>
              <w:rPr>
                <w:rFonts w:ascii="Times New Roman" w:hAnsi="Times New Roman" w:eastAsia="宋体"/>
                <w:b w:val="0"/>
                <w:sz w:val="22"/>
              </w:rPr>
              <w:t>15</w:t>
            </w:r>
          </w:p>
        </w:tc>
      </w:tr>
      <w:tr>
        <w:tc>
          <w:tcPr>
            <w:tcW w:type="dxa" w:w="2161"/>
          </w:tcPr>
          <w:p>
            <w:pPr>
              <w:jc w:val="center"/>
            </w:pPr>
            <w:r/>
            <w:r>
              <w:rPr>
                <w:rFonts w:ascii="Times New Roman" w:hAnsi="Times New Roman" w:eastAsia="宋体"/>
                <w:b w:val="0"/>
                <w:sz w:val="22"/>
              </w:rPr>
              <w:t>DHT22温湿度传感器</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12</w:t>
            </w:r>
          </w:p>
        </w:tc>
        <w:tc>
          <w:tcPr>
            <w:tcW w:type="dxa" w:w="2161"/>
          </w:tcPr>
          <w:p>
            <w:pPr>
              <w:jc w:val="center"/>
            </w:pPr>
            <w:r/>
            <w:r>
              <w:rPr>
                <w:rFonts w:ascii="Times New Roman" w:hAnsi="Times New Roman" w:eastAsia="宋体"/>
                <w:b w:val="0"/>
                <w:sz w:val="22"/>
              </w:rPr>
              <w:t>12</w:t>
            </w:r>
          </w:p>
        </w:tc>
      </w:tr>
      <w:tr>
        <w:tc>
          <w:tcPr>
            <w:tcW w:type="dxa" w:w="2161"/>
          </w:tcPr>
          <w:p>
            <w:pPr>
              <w:jc w:val="center"/>
            </w:pPr>
            <w:r/>
            <w:r>
              <w:rPr>
                <w:rFonts w:ascii="Times New Roman" w:hAnsi="Times New Roman" w:eastAsia="宋体"/>
                <w:b w:val="0"/>
                <w:sz w:val="22"/>
              </w:rPr>
              <w:t>BH1750光照传感器模块</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6</w:t>
            </w:r>
          </w:p>
        </w:tc>
        <w:tc>
          <w:tcPr>
            <w:tcW w:type="dxa" w:w="2161"/>
          </w:tcPr>
          <w:p>
            <w:pPr>
              <w:jc w:val="center"/>
            </w:pPr>
            <w:r/>
            <w:r>
              <w:rPr>
                <w:rFonts w:ascii="Times New Roman" w:hAnsi="Times New Roman" w:eastAsia="宋体"/>
                <w:b w:val="0"/>
                <w:sz w:val="22"/>
              </w:rPr>
              <w:t>6</w:t>
            </w:r>
          </w:p>
        </w:tc>
      </w:tr>
      <w:tr>
        <w:tc>
          <w:tcPr>
            <w:tcW w:type="dxa" w:w="2161"/>
          </w:tcPr>
          <w:p>
            <w:pPr>
              <w:jc w:val="center"/>
            </w:pPr>
            <w:r/>
            <w:r>
              <w:rPr>
                <w:rFonts w:ascii="Times New Roman" w:hAnsi="Times New Roman" w:eastAsia="宋体"/>
                <w:b w:val="0"/>
                <w:sz w:val="22"/>
              </w:rPr>
              <w:t>MH-Z19C CO₂传感器</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55</w:t>
            </w:r>
          </w:p>
        </w:tc>
        <w:tc>
          <w:tcPr>
            <w:tcW w:type="dxa" w:w="2161"/>
          </w:tcPr>
          <w:p>
            <w:pPr>
              <w:jc w:val="center"/>
            </w:pPr>
            <w:r/>
            <w:r>
              <w:rPr>
                <w:rFonts w:ascii="Times New Roman" w:hAnsi="Times New Roman" w:eastAsia="宋体"/>
                <w:b w:val="0"/>
                <w:sz w:val="22"/>
              </w:rPr>
              <w:t>55</w:t>
            </w:r>
          </w:p>
        </w:tc>
      </w:tr>
      <w:tr>
        <w:tc>
          <w:tcPr>
            <w:tcW w:type="dxa" w:w="2161"/>
          </w:tcPr>
          <w:p>
            <w:pPr>
              <w:jc w:val="center"/>
            </w:pPr>
            <w:r/>
            <w:r>
              <w:rPr>
                <w:rFonts w:ascii="Times New Roman" w:hAnsi="Times New Roman" w:eastAsia="宋体"/>
                <w:b w:val="0"/>
                <w:sz w:val="22"/>
              </w:rPr>
              <w:t>0.96寸OLED显示屏</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10</w:t>
            </w:r>
          </w:p>
        </w:tc>
        <w:tc>
          <w:tcPr>
            <w:tcW w:type="dxa" w:w="2161"/>
          </w:tcPr>
          <w:p>
            <w:pPr>
              <w:jc w:val="center"/>
            </w:pPr>
            <w:r/>
            <w:r>
              <w:rPr>
                <w:rFonts w:ascii="Times New Roman" w:hAnsi="Times New Roman" w:eastAsia="宋体"/>
                <w:b w:val="0"/>
                <w:sz w:val="22"/>
              </w:rPr>
              <w:t>10</w:t>
            </w:r>
          </w:p>
        </w:tc>
      </w:tr>
      <w:tr>
        <w:tc>
          <w:tcPr>
            <w:tcW w:type="dxa" w:w="2161"/>
          </w:tcPr>
          <w:p>
            <w:pPr>
              <w:jc w:val="center"/>
            </w:pPr>
            <w:r/>
            <w:r>
              <w:rPr>
                <w:rFonts w:ascii="Times New Roman" w:hAnsi="Times New Roman" w:eastAsia="宋体"/>
                <w:b w:val="0"/>
                <w:sz w:val="22"/>
              </w:rPr>
              <w:t>ESP8266（ESP-01S）WiFi模块</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8</w:t>
            </w:r>
          </w:p>
        </w:tc>
        <w:tc>
          <w:tcPr>
            <w:tcW w:type="dxa" w:w="2161"/>
          </w:tcPr>
          <w:p>
            <w:pPr>
              <w:jc w:val="center"/>
            </w:pPr>
            <w:r/>
            <w:r>
              <w:rPr>
                <w:rFonts w:ascii="Times New Roman" w:hAnsi="Times New Roman" w:eastAsia="宋体"/>
                <w:b w:val="0"/>
                <w:sz w:val="22"/>
              </w:rPr>
              <w:t>8</w:t>
            </w:r>
          </w:p>
        </w:tc>
      </w:tr>
      <w:tr>
        <w:tc>
          <w:tcPr>
            <w:tcW w:type="dxa" w:w="2161"/>
          </w:tcPr>
          <w:p>
            <w:pPr>
              <w:jc w:val="center"/>
            </w:pPr>
            <w:r/>
            <w:r>
              <w:rPr>
                <w:rFonts w:ascii="Times New Roman" w:hAnsi="Times New Roman" w:eastAsia="宋体"/>
                <w:b w:val="0"/>
                <w:sz w:val="22"/>
              </w:rPr>
              <w:t>蜂鸣器、LED指示灯、按键</w:t>
            </w:r>
          </w:p>
        </w:tc>
        <w:tc>
          <w:tcPr>
            <w:tcW w:type="dxa" w:w="2161"/>
          </w:tcPr>
          <w:p>
            <w:pPr>
              <w:jc w:val="center"/>
            </w:pPr>
            <w:r/>
            <w:r>
              <w:rPr>
                <w:rFonts w:ascii="Times New Roman" w:hAnsi="Times New Roman" w:eastAsia="宋体"/>
                <w:b w:val="0"/>
                <w:sz w:val="22"/>
              </w:rPr>
              <w:t>若干</w:t>
            </w:r>
          </w:p>
        </w:tc>
        <w:tc>
          <w:tcPr>
            <w:tcW w:type="dxa" w:w="2161"/>
          </w:tcPr>
          <w:p>
            <w:pPr>
              <w:jc w:val="center"/>
            </w:pPr>
            <w:r/>
            <w:r>
              <w:rPr>
                <w:rFonts w:ascii="Times New Roman" w:hAnsi="Times New Roman" w:eastAsia="宋体"/>
                <w:b w:val="0"/>
                <w:sz w:val="22"/>
              </w:rPr>
              <w:t>6</w:t>
            </w:r>
          </w:p>
        </w:tc>
        <w:tc>
          <w:tcPr>
            <w:tcW w:type="dxa" w:w="2161"/>
          </w:tcPr>
          <w:p>
            <w:pPr>
              <w:jc w:val="center"/>
            </w:pPr>
            <w:r/>
            <w:r>
              <w:rPr>
                <w:rFonts w:ascii="Times New Roman" w:hAnsi="Times New Roman" w:eastAsia="宋体"/>
                <w:b w:val="0"/>
                <w:sz w:val="22"/>
              </w:rPr>
              <w:t>6</w:t>
            </w:r>
          </w:p>
        </w:tc>
      </w:tr>
      <w:tr>
        <w:tc>
          <w:tcPr>
            <w:tcW w:type="dxa" w:w="2161"/>
          </w:tcPr>
          <w:p>
            <w:pPr>
              <w:jc w:val="center"/>
            </w:pPr>
            <w:r/>
            <w:r>
              <w:rPr>
                <w:rFonts w:ascii="Times New Roman" w:hAnsi="Times New Roman" w:eastAsia="宋体"/>
                <w:b w:val="0"/>
                <w:sz w:val="22"/>
              </w:rPr>
              <w:t>5V/2A电源适配器</w:t>
            </w:r>
          </w:p>
        </w:tc>
        <w:tc>
          <w:tcPr>
            <w:tcW w:type="dxa" w:w="2161"/>
          </w:tcPr>
          <w:p>
            <w:pPr>
              <w:jc w:val="center"/>
            </w:pPr>
            <w:r/>
            <w:r>
              <w:rPr>
                <w:rFonts w:ascii="Times New Roman" w:hAnsi="Times New Roman" w:eastAsia="宋体"/>
                <w:b w:val="0"/>
                <w:sz w:val="22"/>
              </w:rPr>
              <w:t>1</w:t>
            </w:r>
          </w:p>
        </w:tc>
        <w:tc>
          <w:tcPr>
            <w:tcW w:type="dxa" w:w="2161"/>
          </w:tcPr>
          <w:p>
            <w:pPr>
              <w:jc w:val="center"/>
            </w:pPr>
            <w:r/>
            <w:r>
              <w:rPr>
                <w:rFonts w:ascii="Times New Roman" w:hAnsi="Times New Roman" w:eastAsia="宋体"/>
                <w:b w:val="0"/>
                <w:sz w:val="22"/>
              </w:rPr>
              <w:t>8</w:t>
            </w:r>
          </w:p>
        </w:tc>
        <w:tc>
          <w:tcPr>
            <w:tcW w:type="dxa" w:w="2161"/>
          </w:tcPr>
          <w:p>
            <w:pPr>
              <w:jc w:val="center"/>
            </w:pPr>
            <w:r/>
            <w:r>
              <w:rPr>
                <w:rFonts w:ascii="Times New Roman" w:hAnsi="Times New Roman" w:eastAsia="宋体"/>
                <w:b w:val="0"/>
                <w:sz w:val="22"/>
              </w:rPr>
              <w:t>8</w:t>
            </w:r>
          </w:p>
        </w:tc>
      </w:tr>
      <w:tr>
        <w:tc>
          <w:tcPr>
            <w:tcW w:type="dxa" w:w="2161"/>
          </w:tcPr>
          <w:p>
            <w:pPr>
              <w:jc w:val="center"/>
            </w:pPr>
            <w:r/>
            <w:r>
              <w:rPr>
                <w:rFonts w:ascii="Times New Roman" w:hAnsi="Times New Roman" w:eastAsia="宋体"/>
                <w:b w:val="0"/>
                <w:sz w:val="22"/>
              </w:rPr>
              <w:t>杜邦线、排针、外壳</w:t>
            </w:r>
          </w:p>
        </w:tc>
        <w:tc>
          <w:tcPr>
            <w:tcW w:type="dxa" w:w="2161"/>
          </w:tcPr>
          <w:p>
            <w:pPr>
              <w:jc w:val="center"/>
            </w:pPr>
            <w:r/>
            <w:r>
              <w:rPr>
                <w:rFonts w:ascii="Times New Roman" w:hAnsi="Times New Roman" w:eastAsia="宋体"/>
                <w:b w:val="0"/>
                <w:sz w:val="22"/>
              </w:rPr>
              <w:t>1套</w:t>
            </w:r>
          </w:p>
        </w:tc>
        <w:tc>
          <w:tcPr>
            <w:tcW w:type="dxa" w:w="2161"/>
          </w:tcPr>
          <w:p>
            <w:pPr>
              <w:jc w:val="center"/>
            </w:pPr>
            <w:r/>
            <w:r>
              <w:rPr>
                <w:rFonts w:ascii="Times New Roman" w:hAnsi="Times New Roman" w:eastAsia="宋体"/>
                <w:b w:val="0"/>
                <w:sz w:val="22"/>
              </w:rPr>
              <w:t>12</w:t>
            </w:r>
          </w:p>
        </w:tc>
        <w:tc>
          <w:tcPr>
            <w:tcW w:type="dxa" w:w="2161"/>
          </w:tcPr>
          <w:p>
            <w:pPr>
              <w:jc w:val="center"/>
            </w:pPr>
            <w:r/>
            <w:r>
              <w:rPr>
                <w:rFonts w:ascii="Times New Roman" w:hAnsi="Times New Roman" w:eastAsia="宋体"/>
                <w:b w:val="0"/>
                <w:sz w:val="22"/>
              </w:rPr>
              <w:t>12</w:t>
            </w:r>
          </w:p>
        </w:tc>
      </w:tr>
      <w:tr>
        <w:tc>
          <w:tcPr>
            <w:tcW w:type="dxa" w:w="2161"/>
          </w:tcPr>
          <w:p>
            <w:pPr>
              <w:jc w:val="center"/>
            </w:pPr>
            <w:r/>
            <w:r>
              <w:rPr>
                <w:rFonts w:ascii="Times New Roman" w:hAnsi="Times New Roman" w:eastAsia="宋体"/>
                <w:b w:val="0"/>
                <w:sz w:val="22"/>
              </w:rPr>
              <w:t>合计</w:t>
            </w:r>
          </w:p>
        </w:tc>
        <w:tc>
          <w:tcPr>
            <w:tcW w:type="dxa" w:w="2161"/>
          </w:tcPr>
          <w:p>
            <w:pPr>
              <w:jc w:val="center"/>
            </w:pPr>
            <w:r/>
            <w:r>
              <w:rPr>
                <w:rFonts w:ascii="Times New Roman" w:hAnsi="Times New Roman" w:eastAsia="宋体"/>
                <w:b w:val="0"/>
                <w:sz w:val="22"/>
              </w:rPr>
            </w:r>
          </w:p>
        </w:tc>
        <w:tc>
          <w:tcPr>
            <w:tcW w:type="dxa" w:w="2161"/>
          </w:tcPr>
          <w:p>
            <w:pPr>
              <w:jc w:val="center"/>
            </w:pPr>
            <w:r/>
            <w:r>
              <w:rPr>
                <w:rFonts w:ascii="Times New Roman" w:hAnsi="Times New Roman" w:eastAsia="宋体"/>
                <w:b w:val="0"/>
                <w:sz w:val="22"/>
              </w:rPr>
            </w:r>
          </w:p>
        </w:tc>
        <w:tc>
          <w:tcPr>
            <w:tcW w:type="dxa" w:w="2161"/>
          </w:tcPr>
          <w:p>
            <w:pPr>
              <w:jc w:val="center"/>
            </w:pPr>
            <w:r/>
            <w:r>
              <w:rPr>
                <w:rFonts w:ascii="Times New Roman" w:hAnsi="Times New Roman" w:eastAsia="宋体"/>
                <w:b w:val="0"/>
                <w:sz w:val="22"/>
              </w:rPr>
              <w:t>≈132</w:t>
            </w:r>
          </w:p>
        </w:tc>
      </w:tr>
    </w:tbl>
    <w:p>
      <w:pPr>
        <w:spacing w:line="440" w:lineRule="exact" w:after="120"/>
        <w:ind w:firstLine="420"/>
      </w:pPr>
      <w:r>
        <w:rPr>
          <w:rFonts w:ascii="Times New Roman" w:hAnsi="Times New Roman" w:eastAsia="宋体"/>
          <w:b w:val="0"/>
          <w:sz w:val="24"/>
        </w:rPr>
        <w:t>软件方面，Keil MDK、STM32CubeMX、VS Code等开发工具均为免费软件；云平台采用OneNet免费版或自建EMQX+数据库方案，无额外授权费用。单间教室全成本（含硬件和软件部署）约150元，若批量采购50间教室的器件，硬件单价可下浮15%~20%，总投入约6500元即可完成整栋教学楼改造，经济可行性显著。</w:t>
      </w:r>
    </w:p>
    <w:p>
      <w:pPr>
        <w:spacing w:before="120" w:after="80"/>
      </w:pPr>
      <w:r>
        <w:rPr>
          <w:rFonts w:ascii="Times New Roman" w:hAnsi="Times New Roman" w:eastAsia="黑体"/>
          <w:b/>
          <w:sz w:val="24"/>
        </w:rPr>
        <w:t>4.3　操作与实施可行性</w:t>
      </w:r>
    </w:p>
    <w:p>
      <w:pPr>
        <w:spacing w:line="440" w:lineRule="exact" w:after="120"/>
        <w:ind w:firstLine="420"/>
      </w:pPr>
      <w:r>
        <w:rPr>
          <w:rFonts w:ascii="Times New Roman" w:hAnsi="Times New Roman" w:eastAsia="宋体"/>
          <w:b w:val="0"/>
          <w:sz w:val="24"/>
        </w:rPr>
        <w:t>硬件安装方面，主控板和传感器模块均采用模块化设计，通过排针和杜邦线连接，无需焊接，学校信息技术教师或有兴趣的学生参照安装说明即可完成。设备外壳采用3D打印或现成塑料壳，壁挂安装仅需2颗螺丝，单间教室安装调试时间约2小时。</w:t>
      </w:r>
    </w:p>
    <w:p>
      <w:pPr>
        <w:spacing w:line="440" w:lineRule="exact" w:after="120"/>
        <w:ind w:firstLine="420"/>
      </w:pPr>
      <w:r>
        <w:rPr>
          <w:rFonts w:ascii="Times New Roman" w:hAnsi="Times New Roman" w:eastAsia="宋体"/>
          <w:b w:val="0"/>
          <w:sz w:val="24"/>
        </w:rPr>
        <w:t>软件方面，固件代码基于HAL库编写，结构清晰且注释完善，支持串口一键烧录。Web端采用B/S架构，教务管理人员通过浏览器即可查看数据，无需安装任何客户端。后期传感器更换仅需拔插连接线，维护门槛极低。</w:t>
      </w:r>
    </w:p>
    <w:p>
      <w:pPr>
        <w:spacing w:before="120" w:after="80"/>
      </w:pPr>
      <w:r>
        <w:rPr>
          <w:rFonts w:ascii="Times New Roman" w:hAnsi="Times New Roman" w:eastAsia="黑体"/>
          <w:b/>
          <w:sz w:val="24"/>
        </w:rPr>
        <w:t>4.4　政策与环境可行性</w:t>
      </w:r>
    </w:p>
    <w:p>
      <w:pPr>
        <w:spacing w:line="440" w:lineRule="exact" w:after="120"/>
        <w:ind w:firstLine="420"/>
      </w:pPr>
      <w:r>
        <w:rPr>
          <w:rFonts w:ascii="Times New Roman" w:hAnsi="Times New Roman" w:eastAsia="宋体"/>
          <w:b w:val="0"/>
          <w:sz w:val="24"/>
        </w:rPr>
        <w:t>国家市场监督管理总局和国家标准化管理委员会发布的《中小学校教室采光和照明卫生标准》（GB 7793-2010）以及《室内空气质量标准》（GB/T 18883-2022）对教室光照和CO₂浓度提出了明确限值要求，本系统的监测功能直接服务于上述标准的达标管理[8]。教育部《教育信息化2.0行动计划》明确提出推动智慧校园建设，本项目方向与政策导向高度一致。硬件器件均符合3C认证要求，ESP8266工作在2.4GHz免许可频段，无政策合规障碍。</w:t>
      </w:r>
    </w:p>
    <w:p>
      <w:pPr>
        <w:spacing w:before="120" w:after="80"/>
      </w:pPr>
      <w:r>
        <w:rPr>
          <w:rFonts w:ascii="Times New Roman" w:hAnsi="Times New Roman" w:eastAsia="黑体"/>
          <w:b/>
          <w:sz w:val="24"/>
        </w:rPr>
        <w:t>4.5　风险评估</w:t>
      </w:r>
    </w:p>
    <w:p>
      <w:pPr>
        <w:spacing w:line="440" w:lineRule="exact" w:after="120"/>
        <w:ind w:firstLine="420"/>
      </w:pPr>
      <w:r>
        <w:rPr>
          <w:rFonts w:ascii="Times New Roman" w:hAnsi="Times New Roman" w:eastAsia="宋体"/>
          <w:b w:val="0"/>
          <w:sz w:val="24"/>
        </w:rPr>
        <w:t>项目实施过程中可能面临的主要风险如表4所示。</w:t>
      </w:r>
    </w:p>
    <w:p>
      <w:pPr>
        <w:spacing w:before="160" w:after="80"/>
        <w:jc w:val="center"/>
      </w:pPr>
      <w:r>
        <w:rPr>
          <w:rFonts w:ascii="Times New Roman" w:hAnsi="Times New Roman" w:eastAsia="宋体"/>
          <w:b/>
          <w:sz w:val="22"/>
        </w:rPr>
        <w:t>表4　项目主要风险评估</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Times New Roman" w:hAnsi="Times New Roman" w:eastAsia="宋体"/>
                <w:b/>
                <w:sz w:val="22"/>
              </w:rPr>
              <w:t>风险项</w:t>
            </w:r>
          </w:p>
        </w:tc>
        <w:tc>
          <w:tcPr>
            <w:tcW w:type="dxa" w:w="2882"/>
          </w:tcPr>
          <w:p>
            <w:pPr>
              <w:jc w:val="center"/>
            </w:pPr>
            <w:r/>
            <w:r>
              <w:rPr>
                <w:rFonts w:ascii="Times New Roman" w:hAnsi="Times New Roman" w:eastAsia="宋体"/>
                <w:b/>
                <w:sz w:val="22"/>
              </w:rPr>
              <w:t>等级</w:t>
            </w:r>
          </w:p>
        </w:tc>
        <w:tc>
          <w:tcPr>
            <w:tcW w:type="dxa" w:w="2882"/>
          </w:tcPr>
          <w:p>
            <w:pPr>
              <w:jc w:val="center"/>
            </w:pPr>
            <w:r/>
            <w:r>
              <w:rPr>
                <w:rFonts w:ascii="Times New Roman" w:hAnsi="Times New Roman" w:eastAsia="宋体"/>
                <w:b/>
                <w:sz w:val="22"/>
              </w:rPr>
              <w:t>描述</w:t>
            </w:r>
          </w:p>
        </w:tc>
      </w:tr>
      <w:tr>
        <w:tc>
          <w:tcPr>
            <w:tcW w:type="dxa" w:w="2882"/>
          </w:tcPr>
          <w:p>
            <w:pPr>
              <w:jc w:val="center"/>
            </w:pPr>
            <w:r/>
            <w:r>
              <w:rPr>
                <w:rFonts w:ascii="Times New Roman" w:hAnsi="Times New Roman" w:eastAsia="宋体"/>
                <w:b w:val="0"/>
                <w:sz w:val="22"/>
              </w:rPr>
              <w:t>CO₂传感器寿命</w:t>
            </w:r>
          </w:p>
        </w:tc>
        <w:tc>
          <w:tcPr>
            <w:tcW w:type="dxa" w:w="2882"/>
          </w:tcPr>
          <w:p>
            <w:pPr>
              <w:jc w:val="center"/>
            </w:pPr>
            <w:r/>
            <w:r>
              <w:rPr>
                <w:rFonts w:ascii="Times New Roman" w:hAnsi="Times New Roman" w:eastAsia="宋体"/>
                <w:b w:val="0"/>
                <w:sz w:val="22"/>
              </w:rPr>
              <w:t>低</w:t>
            </w:r>
          </w:p>
        </w:tc>
        <w:tc>
          <w:tcPr>
            <w:tcW w:type="dxa" w:w="2882"/>
          </w:tcPr>
          <w:p>
            <w:pPr>
              <w:jc w:val="center"/>
            </w:pPr>
            <w:r/>
            <w:r>
              <w:rPr>
                <w:rFonts w:ascii="Times New Roman" w:hAnsi="Times New Roman" w:eastAsia="宋体"/>
                <w:b w:val="0"/>
                <w:sz w:val="22"/>
              </w:rPr>
              <w:t>MH-Z19C标称寿命&gt;5年，到期需更换，成本约55元</w:t>
            </w:r>
          </w:p>
        </w:tc>
      </w:tr>
      <w:tr>
        <w:tc>
          <w:tcPr>
            <w:tcW w:type="dxa" w:w="2882"/>
          </w:tcPr>
          <w:p>
            <w:pPr>
              <w:jc w:val="center"/>
            </w:pPr>
            <w:r/>
            <w:r>
              <w:rPr>
                <w:rFonts w:ascii="Times New Roman" w:hAnsi="Times New Roman" w:eastAsia="宋体"/>
                <w:b w:val="0"/>
                <w:sz w:val="22"/>
              </w:rPr>
              <w:t>WiFi信号覆盖</w:t>
            </w:r>
          </w:p>
        </w:tc>
        <w:tc>
          <w:tcPr>
            <w:tcW w:type="dxa" w:w="2882"/>
          </w:tcPr>
          <w:p>
            <w:pPr>
              <w:jc w:val="center"/>
            </w:pPr>
            <w:r/>
            <w:r>
              <w:rPr>
                <w:rFonts w:ascii="Times New Roman" w:hAnsi="Times New Roman" w:eastAsia="宋体"/>
                <w:b w:val="0"/>
                <w:sz w:val="22"/>
              </w:rPr>
              <w:t>中</w:t>
            </w:r>
          </w:p>
        </w:tc>
        <w:tc>
          <w:tcPr>
            <w:tcW w:type="dxa" w:w="2882"/>
          </w:tcPr>
          <w:p>
            <w:pPr>
              <w:jc w:val="center"/>
            </w:pPr>
            <w:r/>
            <w:r>
              <w:rPr>
                <w:rFonts w:ascii="Times New Roman" w:hAnsi="Times New Roman" w:eastAsia="宋体"/>
                <w:b w:val="0"/>
                <w:sz w:val="22"/>
              </w:rPr>
              <w:t>部分老旧教学楼墙体较厚，可能需要增设AP节点</w:t>
            </w:r>
          </w:p>
        </w:tc>
      </w:tr>
      <w:tr>
        <w:tc>
          <w:tcPr>
            <w:tcW w:type="dxa" w:w="2882"/>
          </w:tcPr>
          <w:p>
            <w:pPr>
              <w:jc w:val="center"/>
            </w:pPr>
            <w:r/>
            <w:r>
              <w:rPr>
                <w:rFonts w:ascii="Times New Roman" w:hAnsi="Times New Roman" w:eastAsia="宋体"/>
                <w:b w:val="0"/>
                <w:sz w:val="22"/>
              </w:rPr>
              <w:t>数据拥塞</w:t>
            </w:r>
          </w:p>
        </w:tc>
        <w:tc>
          <w:tcPr>
            <w:tcW w:type="dxa" w:w="2882"/>
          </w:tcPr>
          <w:p>
            <w:pPr>
              <w:jc w:val="center"/>
            </w:pPr>
            <w:r/>
            <w:r>
              <w:rPr>
                <w:rFonts w:ascii="Times New Roman" w:hAnsi="Times New Roman" w:eastAsia="宋体"/>
                <w:b w:val="0"/>
                <w:sz w:val="22"/>
              </w:rPr>
              <w:t>中</w:t>
            </w:r>
          </w:p>
        </w:tc>
        <w:tc>
          <w:tcPr>
            <w:tcW w:type="dxa" w:w="2882"/>
          </w:tcPr>
          <w:p>
            <w:pPr>
              <w:jc w:val="center"/>
            </w:pPr>
            <w:r/>
            <w:r>
              <w:rPr>
                <w:rFonts w:ascii="Times New Roman" w:hAnsi="Times New Roman" w:eastAsia="宋体"/>
                <w:b w:val="0"/>
                <w:sz w:val="22"/>
              </w:rPr>
              <w:t>50间教室同时上传可能造成网络瞬时压力，需优化上传频率和QoS策略</w:t>
            </w:r>
          </w:p>
        </w:tc>
      </w:tr>
      <w:tr>
        <w:tc>
          <w:tcPr>
            <w:tcW w:type="dxa" w:w="2882"/>
          </w:tcPr>
          <w:p>
            <w:pPr>
              <w:jc w:val="center"/>
            </w:pPr>
            <w:r/>
            <w:r>
              <w:rPr>
                <w:rFonts w:ascii="Times New Roman" w:hAnsi="Times New Roman" w:eastAsia="宋体"/>
                <w:b w:val="0"/>
                <w:sz w:val="22"/>
              </w:rPr>
              <w:t>学生误触设备</w:t>
            </w:r>
          </w:p>
        </w:tc>
        <w:tc>
          <w:tcPr>
            <w:tcW w:type="dxa" w:w="2882"/>
          </w:tcPr>
          <w:p>
            <w:pPr>
              <w:jc w:val="center"/>
            </w:pPr>
            <w:r/>
            <w:r>
              <w:rPr>
                <w:rFonts w:ascii="Times New Roman" w:hAnsi="Times New Roman" w:eastAsia="宋体"/>
                <w:b w:val="0"/>
                <w:sz w:val="22"/>
              </w:rPr>
              <w:t>低</w:t>
            </w:r>
          </w:p>
        </w:tc>
        <w:tc>
          <w:tcPr>
            <w:tcW w:type="dxa" w:w="2882"/>
          </w:tcPr>
          <w:p>
            <w:pPr>
              <w:jc w:val="center"/>
            </w:pPr>
            <w:r/>
            <w:r>
              <w:rPr>
                <w:rFonts w:ascii="Times New Roman" w:hAnsi="Times New Roman" w:eastAsia="宋体"/>
                <w:b w:val="0"/>
                <w:sz w:val="22"/>
              </w:rPr>
              <w:t>设备壁挂安装于高处并加装外壳，物理隔离可有效防护</w:t>
            </w:r>
          </w:p>
        </w:tc>
      </w:tr>
      <w:tr>
        <w:tc>
          <w:tcPr>
            <w:tcW w:type="dxa" w:w="2882"/>
          </w:tcPr>
          <w:p>
            <w:pPr>
              <w:jc w:val="center"/>
            </w:pPr>
            <w:r/>
            <w:r>
              <w:rPr>
                <w:rFonts w:ascii="Times New Roman" w:hAnsi="Times New Roman" w:eastAsia="宋体"/>
                <w:b w:val="0"/>
                <w:sz w:val="22"/>
              </w:rPr>
              <w:t>供电不稳</w:t>
            </w:r>
          </w:p>
        </w:tc>
        <w:tc>
          <w:tcPr>
            <w:tcW w:type="dxa" w:w="2882"/>
          </w:tcPr>
          <w:p>
            <w:pPr>
              <w:jc w:val="center"/>
            </w:pPr>
            <w:r/>
            <w:r>
              <w:rPr>
                <w:rFonts w:ascii="Times New Roman" w:hAnsi="Times New Roman" w:eastAsia="宋体"/>
                <w:b w:val="0"/>
                <w:sz w:val="22"/>
              </w:rPr>
              <w:t>低</w:t>
            </w:r>
          </w:p>
        </w:tc>
        <w:tc>
          <w:tcPr>
            <w:tcW w:type="dxa" w:w="2882"/>
          </w:tcPr>
          <w:p>
            <w:pPr>
              <w:jc w:val="center"/>
            </w:pPr>
            <w:r/>
            <w:r>
              <w:rPr>
                <w:rFonts w:ascii="Times New Roman" w:hAnsi="Times New Roman" w:eastAsia="宋体"/>
                <w:b w:val="0"/>
                <w:sz w:val="22"/>
              </w:rPr>
              <w:t>教学楼供电通常稳定，增加适配器余量设计即可</w:t>
            </w:r>
          </w:p>
        </w:tc>
      </w:tr>
      <w:tr>
        <w:tc>
          <w:tcPr>
            <w:tcW w:type="dxa" w:w="2882"/>
          </w:tcPr>
          <w:p>
            <w:pPr>
              <w:jc w:val="center"/>
            </w:pPr>
            <w:r/>
            <w:r>
              <w:rPr>
                <w:rFonts w:ascii="Times New Roman" w:hAnsi="Times New Roman" w:eastAsia="宋体"/>
                <w:b w:val="0"/>
                <w:sz w:val="22"/>
              </w:rPr>
              <w:t>传感器精度衰减</w:t>
            </w:r>
          </w:p>
        </w:tc>
        <w:tc>
          <w:tcPr>
            <w:tcW w:type="dxa" w:w="2882"/>
          </w:tcPr>
          <w:p>
            <w:pPr>
              <w:jc w:val="center"/>
            </w:pPr>
            <w:r/>
            <w:r>
              <w:rPr>
                <w:rFonts w:ascii="Times New Roman" w:hAnsi="Times New Roman" w:eastAsia="宋体"/>
                <w:b w:val="0"/>
                <w:sz w:val="22"/>
              </w:rPr>
              <w:t>低</w:t>
            </w:r>
          </w:p>
        </w:tc>
        <w:tc>
          <w:tcPr>
            <w:tcW w:type="dxa" w:w="2882"/>
          </w:tcPr>
          <w:p>
            <w:pPr>
              <w:jc w:val="center"/>
            </w:pPr>
            <w:r/>
            <w:r>
              <w:rPr>
                <w:rFonts w:ascii="Times New Roman" w:hAnsi="Times New Roman" w:eastAsia="宋体"/>
                <w:b w:val="0"/>
                <w:sz w:val="22"/>
              </w:rPr>
              <w:t>BH1750和DHT22精度衰减缓慢，建议每学年校准一次</w:t>
            </w:r>
          </w:p>
        </w:tc>
      </w:tr>
    </w:tbl>
    <w:p>
      <w:pPr>
        <w:spacing w:before="240" w:after="120"/>
      </w:pPr>
      <w:r>
        <w:rPr>
          <w:rFonts w:ascii="Times New Roman" w:hAnsi="Times New Roman" w:eastAsia="黑体"/>
          <w:b/>
          <w:sz w:val="28"/>
        </w:rPr>
        <w:t>5　实施方案与进度规划</w:t>
      </w:r>
    </w:p>
    <w:p>
      <w:pPr>
        <w:spacing w:line="440" w:lineRule="exact" w:after="120"/>
        <w:ind w:firstLine="420"/>
      </w:pPr>
      <w:r>
        <w:rPr>
          <w:rFonts w:ascii="Times New Roman" w:hAnsi="Times New Roman" w:eastAsia="宋体"/>
          <w:b w:val="0"/>
          <w:sz w:val="24"/>
        </w:rPr>
        <w:t>项目整体分为六个实施阶段，计划总工期约14周，具体安排如表5所示。</w:t>
      </w:r>
    </w:p>
    <w:p>
      <w:pPr>
        <w:spacing w:before="160" w:after="80"/>
        <w:jc w:val="center"/>
      </w:pPr>
      <w:r>
        <w:rPr>
          <w:rFonts w:ascii="Times New Roman" w:hAnsi="Times New Roman" w:eastAsia="宋体"/>
          <w:b/>
          <w:sz w:val="22"/>
        </w:rPr>
        <w:t>表5　项目实施进度计划</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Times New Roman" w:hAnsi="Times New Roman" w:eastAsia="宋体"/>
                <w:b/>
                <w:sz w:val="22"/>
              </w:rPr>
              <w:t>阶段</w:t>
            </w:r>
          </w:p>
        </w:tc>
        <w:tc>
          <w:tcPr>
            <w:tcW w:type="dxa" w:w="2882"/>
          </w:tcPr>
          <w:p>
            <w:pPr>
              <w:jc w:val="center"/>
            </w:pPr>
            <w:r/>
            <w:r>
              <w:rPr>
                <w:rFonts w:ascii="Times New Roman" w:hAnsi="Times New Roman" w:eastAsia="宋体"/>
                <w:b/>
                <w:sz w:val="22"/>
              </w:rPr>
              <w:t>时间</w:t>
            </w:r>
          </w:p>
        </w:tc>
        <w:tc>
          <w:tcPr>
            <w:tcW w:type="dxa" w:w="2882"/>
          </w:tcPr>
          <w:p>
            <w:pPr>
              <w:jc w:val="center"/>
            </w:pPr>
            <w:r/>
            <w:r>
              <w:rPr>
                <w:rFonts w:ascii="Times New Roman" w:hAnsi="Times New Roman" w:eastAsia="宋体"/>
                <w:b/>
                <w:sz w:val="22"/>
              </w:rPr>
              <w:t>主要工作内容</w:t>
            </w:r>
          </w:p>
        </w:tc>
      </w:tr>
      <w:tr>
        <w:tc>
          <w:tcPr>
            <w:tcW w:type="dxa" w:w="2882"/>
          </w:tcPr>
          <w:p>
            <w:pPr>
              <w:jc w:val="center"/>
            </w:pPr>
            <w:r/>
            <w:r>
              <w:rPr>
                <w:rFonts w:ascii="Times New Roman" w:hAnsi="Times New Roman" w:eastAsia="宋体"/>
                <w:b w:val="0"/>
                <w:sz w:val="22"/>
              </w:rPr>
              <w:t>需求调研</w:t>
            </w:r>
          </w:p>
        </w:tc>
        <w:tc>
          <w:tcPr>
            <w:tcW w:type="dxa" w:w="2882"/>
          </w:tcPr>
          <w:p>
            <w:pPr>
              <w:jc w:val="center"/>
            </w:pPr>
            <w:r/>
            <w:r>
              <w:rPr>
                <w:rFonts w:ascii="Times New Roman" w:hAnsi="Times New Roman" w:eastAsia="宋体"/>
                <w:b w:val="0"/>
                <w:sz w:val="22"/>
              </w:rPr>
              <w:t>第1~2周</w:t>
            </w:r>
          </w:p>
        </w:tc>
        <w:tc>
          <w:tcPr>
            <w:tcW w:type="dxa" w:w="2882"/>
          </w:tcPr>
          <w:p>
            <w:pPr>
              <w:jc w:val="center"/>
            </w:pPr>
            <w:r/>
            <w:r>
              <w:rPr>
                <w:rFonts w:ascii="Times New Roman" w:hAnsi="Times New Roman" w:eastAsia="宋体"/>
                <w:b w:val="0"/>
                <w:sz w:val="22"/>
              </w:rPr>
              <w:t>走访学校实地调研教室环境现状，收集师生需求，确定系统功能边界</w:t>
            </w:r>
          </w:p>
        </w:tc>
      </w:tr>
      <w:tr>
        <w:tc>
          <w:tcPr>
            <w:tcW w:type="dxa" w:w="2882"/>
          </w:tcPr>
          <w:p>
            <w:pPr>
              <w:jc w:val="center"/>
            </w:pPr>
            <w:r/>
            <w:r>
              <w:rPr>
                <w:rFonts w:ascii="Times New Roman" w:hAnsi="Times New Roman" w:eastAsia="宋体"/>
                <w:b w:val="0"/>
                <w:sz w:val="22"/>
              </w:rPr>
              <w:t>方案设计</w:t>
            </w:r>
          </w:p>
        </w:tc>
        <w:tc>
          <w:tcPr>
            <w:tcW w:type="dxa" w:w="2882"/>
          </w:tcPr>
          <w:p>
            <w:pPr>
              <w:jc w:val="center"/>
            </w:pPr>
            <w:r/>
            <w:r>
              <w:rPr>
                <w:rFonts w:ascii="Times New Roman" w:hAnsi="Times New Roman" w:eastAsia="宋体"/>
                <w:b w:val="0"/>
                <w:sz w:val="22"/>
              </w:rPr>
              <w:t>第3~4周</w:t>
            </w:r>
          </w:p>
        </w:tc>
        <w:tc>
          <w:tcPr>
            <w:tcW w:type="dxa" w:w="2882"/>
          </w:tcPr>
          <w:p>
            <w:pPr>
              <w:jc w:val="center"/>
            </w:pPr>
            <w:r/>
            <w:r>
              <w:rPr>
                <w:rFonts w:ascii="Times New Roman" w:hAnsi="Times New Roman" w:eastAsia="宋体"/>
                <w:b w:val="0"/>
                <w:sz w:val="22"/>
              </w:rPr>
              <w:t>系统架构设计、传感器选型确认、通信协议设计、电路原理图绘制</w:t>
            </w:r>
          </w:p>
        </w:tc>
      </w:tr>
      <w:tr>
        <w:tc>
          <w:tcPr>
            <w:tcW w:type="dxa" w:w="2882"/>
          </w:tcPr>
          <w:p>
            <w:pPr>
              <w:jc w:val="center"/>
            </w:pPr>
            <w:r/>
            <w:r>
              <w:rPr>
                <w:rFonts w:ascii="Times New Roman" w:hAnsi="Times New Roman" w:eastAsia="宋体"/>
                <w:b w:val="0"/>
                <w:sz w:val="22"/>
              </w:rPr>
              <w:t>原型搭建</w:t>
            </w:r>
          </w:p>
        </w:tc>
        <w:tc>
          <w:tcPr>
            <w:tcW w:type="dxa" w:w="2882"/>
          </w:tcPr>
          <w:p>
            <w:pPr>
              <w:jc w:val="center"/>
            </w:pPr>
            <w:r/>
            <w:r>
              <w:rPr>
                <w:rFonts w:ascii="Times New Roman" w:hAnsi="Times New Roman" w:eastAsia="宋体"/>
                <w:b w:val="0"/>
                <w:sz w:val="22"/>
              </w:rPr>
              <w:t>第5~6周</w:t>
            </w:r>
          </w:p>
        </w:tc>
        <w:tc>
          <w:tcPr>
            <w:tcW w:type="dxa" w:w="2882"/>
          </w:tcPr>
          <w:p>
            <w:pPr>
              <w:jc w:val="center"/>
            </w:pPr>
            <w:r/>
            <w:r>
              <w:rPr>
                <w:rFonts w:ascii="Times New Roman" w:hAnsi="Times New Roman" w:eastAsia="宋体"/>
                <w:b w:val="0"/>
                <w:sz w:val="22"/>
              </w:rPr>
              <w:t>器件采购、单间教室硬件搭建、各传感器驱动调试</w:t>
            </w:r>
          </w:p>
        </w:tc>
      </w:tr>
      <w:tr>
        <w:tc>
          <w:tcPr>
            <w:tcW w:type="dxa" w:w="2882"/>
          </w:tcPr>
          <w:p>
            <w:pPr>
              <w:jc w:val="center"/>
            </w:pPr>
            <w:r/>
            <w:r>
              <w:rPr>
                <w:rFonts w:ascii="Times New Roman" w:hAnsi="Times New Roman" w:eastAsia="宋体"/>
                <w:b w:val="0"/>
                <w:sz w:val="22"/>
              </w:rPr>
              <w:t>软件开发</w:t>
            </w:r>
          </w:p>
        </w:tc>
        <w:tc>
          <w:tcPr>
            <w:tcW w:type="dxa" w:w="2882"/>
          </w:tcPr>
          <w:p>
            <w:pPr>
              <w:jc w:val="center"/>
            </w:pPr>
            <w:r/>
            <w:r>
              <w:rPr>
                <w:rFonts w:ascii="Times New Roman" w:hAnsi="Times New Roman" w:eastAsia="宋体"/>
                <w:b w:val="0"/>
                <w:sz w:val="22"/>
              </w:rPr>
              <w:t>第7~9周</w:t>
            </w:r>
          </w:p>
        </w:tc>
        <w:tc>
          <w:tcPr>
            <w:tcW w:type="dxa" w:w="2882"/>
          </w:tcPr>
          <w:p>
            <w:pPr>
              <w:jc w:val="center"/>
            </w:pPr>
            <w:r/>
            <w:r>
              <w:rPr>
                <w:rFonts w:ascii="Times New Roman" w:hAnsi="Times New Roman" w:eastAsia="宋体"/>
                <w:b w:val="0"/>
                <w:sz w:val="22"/>
              </w:rPr>
              <w:t>固件开发（采集、显示、报警、通信）、云平台对接、Web管理端开发</w:t>
            </w:r>
          </w:p>
        </w:tc>
      </w:tr>
      <w:tr>
        <w:tc>
          <w:tcPr>
            <w:tcW w:type="dxa" w:w="2882"/>
          </w:tcPr>
          <w:p>
            <w:pPr>
              <w:jc w:val="center"/>
            </w:pPr>
            <w:r/>
            <w:r>
              <w:rPr>
                <w:rFonts w:ascii="Times New Roman" w:hAnsi="Times New Roman" w:eastAsia="宋体"/>
                <w:b w:val="0"/>
                <w:sz w:val="22"/>
              </w:rPr>
              <w:t>联调测试</w:t>
            </w:r>
          </w:p>
        </w:tc>
        <w:tc>
          <w:tcPr>
            <w:tcW w:type="dxa" w:w="2882"/>
          </w:tcPr>
          <w:p>
            <w:pPr>
              <w:jc w:val="center"/>
            </w:pPr>
            <w:r/>
            <w:r>
              <w:rPr>
                <w:rFonts w:ascii="Times New Roman" w:hAnsi="Times New Roman" w:eastAsia="宋体"/>
                <w:b w:val="0"/>
                <w:sz w:val="22"/>
              </w:rPr>
              <w:t>第10~12周</w:t>
            </w:r>
          </w:p>
        </w:tc>
        <w:tc>
          <w:tcPr>
            <w:tcW w:type="dxa" w:w="2882"/>
          </w:tcPr>
          <w:p>
            <w:pPr>
              <w:jc w:val="center"/>
            </w:pPr>
            <w:r/>
            <w:r>
              <w:rPr>
                <w:rFonts w:ascii="Times New Roman" w:hAnsi="Times New Roman" w:eastAsia="宋体"/>
                <w:b w:val="0"/>
                <w:sz w:val="22"/>
              </w:rPr>
              <w:t>单间功能测试、多间并发测试、7×24小时稳定性测试、报警准确率测试</w:t>
            </w:r>
          </w:p>
        </w:tc>
      </w:tr>
      <w:tr>
        <w:tc>
          <w:tcPr>
            <w:tcW w:type="dxa" w:w="2882"/>
          </w:tcPr>
          <w:p>
            <w:pPr>
              <w:jc w:val="center"/>
            </w:pPr>
            <w:r/>
            <w:r>
              <w:rPr>
                <w:rFonts w:ascii="Times New Roman" w:hAnsi="Times New Roman" w:eastAsia="宋体"/>
                <w:b w:val="0"/>
                <w:sz w:val="22"/>
              </w:rPr>
              <w:t>批量部署</w:t>
            </w:r>
          </w:p>
        </w:tc>
        <w:tc>
          <w:tcPr>
            <w:tcW w:type="dxa" w:w="2882"/>
          </w:tcPr>
          <w:p>
            <w:pPr>
              <w:jc w:val="center"/>
            </w:pPr>
            <w:r/>
            <w:r>
              <w:rPr>
                <w:rFonts w:ascii="Times New Roman" w:hAnsi="Times New Roman" w:eastAsia="宋体"/>
                <w:b w:val="0"/>
                <w:sz w:val="22"/>
              </w:rPr>
              <w:t>第13~14周</w:t>
            </w:r>
          </w:p>
        </w:tc>
        <w:tc>
          <w:tcPr>
            <w:tcW w:type="dxa" w:w="2882"/>
          </w:tcPr>
          <w:p>
            <w:pPr>
              <w:jc w:val="center"/>
            </w:pPr>
            <w:r/>
            <w:r>
              <w:rPr>
                <w:rFonts w:ascii="Times New Roman" w:hAnsi="Times New Roman" w:eastAsia="宋体"/>
                <w:b w:val="0"/>
                <w:sz w:val="22"/>
              </w:rPr>
              <w:t>整栋教学楼批量安装、参数校准、培训交付、技术文档归档</w:t>
            </w:r>
          </w:p>
        </w:tc>
      </w:tr>
    </w:tbl>
    <w:p>
      <w:pPr>
        <w:spacing w:before="240" w:after="120"/>
      </w:pPr>
      <w:r>
        <w:rPr>
          <w:rFonts w:ascii="Times New Roman" w:hAnsi="Times New Roman" w:eastAsia="黑体"/>
          <w:b/>
          <w:sz w:val="28"/>
        </w:rPr>
        <w:t>6　风险应对措施</w:t>
      </w:r>
    </w:p>
    <w:p>
      <w:pPr>
        <w:spacing w:line="440" w:lineRule="exact" w:after="120"/>
        <w:ind w:firstLine="420"/>
      </w:pPr>
      <w:r>
        <w:rPr>
          <w:rFonts w:ascii="Times New Roman" w:hAnsi="Times New Roman" w:eastAsia="宋体"/>
          <w:b w:val="0"/>
          <w:sz w:val="24"/>
        </w:rPr>
        <w:t>针对第4.5节识别的各类风险，制定如下应对措施：</w:t>
      </w:r>
    </w:p>
    <w:p>
      <w:pPr>
        <w:spacing w:line="440" w:lineRule="exact" w:after="80"/>
        <w:ind w:firstLine="420"/>
      </w:pPr>
      <w:r>
        <w:rPr>
          <w:rFonts w:ascii="Times New Roman" w:hAnsi="Times New Roman" w:eastAsia="宋体"/>
          <w:b/>
          <w:sz w:val="24"/>
        </w:rPr>
        <w:t>（1）CO₂传感器寿命管理：</w:t>
      </w:r>
      <w:r>
        <w:rPr>
          <w:rFonts w:ascii="Times New Roman" w:hAnsi="Times New Roman" w:eastAsia="宋体"/>
          <w:b w:val="0"/>
          <w:sz w:val="24"/>
        </w:rPr>
        <w:t>建立传感器生命周期档案，在MH-Z19C使用满4年后启动预采购流程，确保到期可及时更换。同时可评估采用更长寿命的传感器型号作为备选方案。</w:t>
      </w:r>
    </w:p>
    <w:p>
      <w:pPr>
        <w:spacing w:line="440" w:lineRule="exact" w:after="80"/>
        <w:ind w:firstLine="420"/>
      </w:pPr>
      <w:r>
        <w:rPr>
          <w:rFonts w:ascii="Times New Roman" w:hAnsi="Times New Roman" w:eastAsia="宋体"/>
          <w:b/>
          <w:sz w:val="24"/>
        </w:rPr>
        <w:t>（2）WiFi信号优化：</w:t>
      </w:r>
      <w:r>
        <w:rPr>
          <w:rFonts w:ascii="Times New Roman" w:hAnsi="Times New Roman" w:eastAsia="宋体"/>
          <w:b w:val="0"/>
          <w:sz w:val="24"/>
        </w:rPr>
        <w:t>部署前对教学楼进行WiFi信号实测，对信号盲区增设无线AP或采用WiFi中继模块扩展覆盖范围。ESP8266支持外接天线，可在信号较弱教室使用外置天线版本。</w:t>
      </w:r>
    </w:p>
    <w:p>
      <w:pPr>
        <w:spacing w:line="440" w:lineRule="exact" w:after="80"/>
        <w:ind w:firstLine="420"/>
      </w:pPr>
      <w:r>
        <w:rPr>
          <w:rFonts w:ascii="Times New Roman" w:hAnsi="Times New Roman" w:eastAsia="宋体"/>
          <w:b/>
          <w:sz w:val="24"/>
        </w:rPr>
        <w:t>（3）数据拥塞缓解：</w:t>
      </w:r>
      <w:r>
        <w:rPr>
          <w:rFonts w:ascii="Times New Roman" w:hAnsi="Times New Roman" w:eastAsia="宋体"/>
          <w:b w:val="0"/>
          <w:sz w:val="24"/>
        </w:rPr>
        <w:t>为各教室设备设置错峰上传时间（随机延迟0~5秒），采用MQTT QoS 1级别保证消息到达，后端采用消息队列缓冲突发流量。</w:t>
      </w:r>
    </w:p>
    <w:p>
      <w:pPr>
        <w:spacing w:line="440" w:lineRule="exact" w:after="80"/>
        <w:ind w:firstLine="420"/>
      </w:pPr>
      <w:r>
        <w:rPr>
          <w:rFonts w:ascii="Times New Roman" w:hAnsi="Times New Roman" w:eastAsia="宋体"/>
          <w:b/>
          <w:sz w:val="24"/>
        </w:rPr>
        <w:t>（4）设备物理防护：</w:t>
      </w:r>
      <w:r>
        <w:rPr>
          <w:rFonts w:ascii="Times New Roman" w:hAnsi="Times New Roman" w:eastAsia="宋体"/>
          <w:b w:val="0"/>
          <w:sz w:val="24"/>
        </w:rPr>
        <w:t>设备外壳采用防拆螺丝固定，安装高度不低于2米，外壳表面标注"教学设备请勿触摸"提示，减少误操作风险。</w:t>
      </w:r>
    </w:p>
    <w:p>
      <w:pPr>
        <w:spacing w:line="440" w:lineRule="exact" w:after="80"/>
        <w:ind w:firstLine="420"/>
      </w:pPr>
      <w:r>
        <w:rPr>
          <w:rFonts w:ascii="Times New Roman" w:hAnsi="Times New Roman" w:eastAsia="宋体"/>
          <w:b/>
          <w:sz w:val="24"/>
        </w:rPr>
        <w:t>（5）传感器定期校准：</w:t>
      </w:r>
      <w:r>
        <w:rPr>
          <w:rFonts w:ascii="Times New Roman" w:hAnsi="Times New Roman" w:eastAsia="宋体"/>
          <w:b w:val="0"/>
          <w:sz w:val="24"/>
        </w:rPr>
        <w:t>制定每学年一次的校准计划，使用标准温湿度计和CO₂标准气体进行比对校准，记录校准数据并更新偏移补偿参数。</w:t>
      </w:r>
    </w:p>
    <w:p>
      <w:pPr>
        <w:spacing w:before="240" w:after="120"/>
      </w:pPr>
      <w:r>
        <w:rPr>
          <w:rFonts w:ascii="Times New Roman" w:hAnsi="Times New Roman" w:eastAsia="黑体"/>
          <w:b/>
          <w:sz w:val="28"/>
        </w:rPr>
        <w:t>7　效益分析</w:t>
      </w:r>
    </w:p>
    <w:p>
      <w:pPr>
        <w:spacing w:before="120" w:after="80"/>
      </w:pPr>
      <w:r>
        <w:rPr>
          <w:rFonts w:ascii="Times New Roman" w:hAnsi="Times New Roman" w:eastAsia="黑体"/>
          <w:b/>
          <w:sz w:val="24"/>
        </w:rPr>
        <w:t>7.1　实用效益</w:t>
      </w:r>
    </w:p>
    <w:p>
      <w:pPr>
        <w:spacing w:line="440" w:lineRule="exact" w:after="120"/>
        <w:ind w:firstLine="420"/>
      </w:pPr>
      <w:r>
        <w:rPr>
          <w:rFonts w:ascii="Times New Roman" w:hAnsi="Times New Roman" w:eastAsia="宋体"/>
          <w:b w:val="0"/>
          <w:sz w:val="24"/>
        </w:rPr>
        <w:t>系统投入使用后，学校管理人员可实时掌握每间教室的环境状况，在CO₂浓度超标时及时通知开窗通风或启动新风系统，有效改善室内空气质量，降低师生因空气不流通引发的头晕、困倦等症状发生率。光照监测数据可辅助学校合理安排教室照明灯具的开关策略，避免过度照明造成的能源浪费。历史环境数据的积累为学校优化教室管理、申请卫生达标验收提供了量化数据支撑。</w:t>
      </w:r>
    </w:p>
    <w:p>
      <w:pPr>
        <w:spacing w:before="120" w:after="80"/>
      </w:pPr>
      <w:r>
        <w:rPr>
          <w:rFonts w:ascii="Times New Roman" w:hAnsi="Times New Roman" w:eastAsia="黑体"/>
          <w:b/>
          <w:sz w:val="24"/>
        </w:rPr>
        <w:t>7.2　推广效益</w:t>
      </w:r>
    </w:p>
    <w:p>
      <w:pPr>
        <w:spacing w:line="440" w:lineRule="exact" w:after="120"/>
        <w:ind w:firstLine="420"/>
      </w:pPr>
      <w:r>
        <w:rPr>
          <w:rFonts w:ascii="Times New Roman" w:hAnsi="Times New Roman" w:eastAsia="宋体"/>
          <w:b w:val="0"/>
          <w:sz w:val="24"/>
        </w:rPr>
        <w:t>系统架构具有高度的通用性和可复制性，单间教室改造成本低、部署周期短，适合在一所学校内快速批量推广，也便于区域内教育主管部门统一采购部署。系统预留的继电器联动接口可与教室空调、新风、窗帘等设备对接，逐步升级为教室环境智能调控系统。开源设计方案可为兄弟学校和教育信息化企业提供技术参考，具有良好的行业示范效应和推广价值。</w:t>
      </w:r>
    </w:p>
    <w:p>
      <w:pPr>
        <w:spacing w:before="240" w:after="120"/>
      </w:pPr>
      <w:r>
        <w:rPr>
          <w:rFonts w:ascii="Times New Roman" w:hAnsi="Times New Roman" w:eastAsia="黑体"/>
          <w:b/>
          <w:sz w:val="28"/>
        </w:rPr>
        <w:t>8　结论与展望</w:t>
      </w:r>
    </w:p>
    <w:p>
      <w:pPr>
        <w:spacing w:line="440" w:lineRule="exact" w:after="120"/>
        <w:ind w:firstLine="420"/>
      </w:pPr>
      <w:r>
        <w:rPr>
          <w:rFonts w:ascii="Times New Roman" w:hAnsi="Times New Roman" w:eastAsia="宋体"/>
          <w:b w:val="0"/>
          <w:sz w:val="24"/>
        </w:rPr>
        <w:t>本文围绕基于物联网的智能教室环境监测系统，从需求分析、市场现状、技术可行性、经济可行性、操作可行性、政策合规性和风险评估七个维度进行了系统论证。研究结果表明：系统采用的STM32+DHT22+BH1750+MH-Z19C+ESP8266技术方案成熟可靠，各组件均有丰富的工程实践案例和开源资源支撑；单间教室改造成本约150元，远低于现有商用方案，具备大规模推广的经济基础；系统安装维护简便，学校信息技术人员经简单培训即可独立运维；项目方向与国家智慧校园政策导向一致，无政策合规障碍。综合评估认为，本项目在技术上可实现、经济上可承受、操作上可落地，建议立项实施。</w:t>
      </w:r>
    </w:p>
    <w:p>
      <w:pPr>
        <w:spacing w:line="440" w:lineRule="exact" w:after="120"/>
        <w:ind w:firstLine="420"/>
      </w:pPr>
      <w:r>
        <w:rPr>
          <w:rFonts w:ascii="Times New Roman" w:hAnsi="Times New Roman" w:eastAsia="宋体"/>
          <w:b w:val="0"/>
          <w:sz w:val="24"/>
        </w:rPr>
        <w:t>后续工作可从以下方向拓展：一是引入PM2.5和甲醛传感器，进一步丰富监测维度；二是开发自动调控功能，当CO₂超标时自动联动开启新风系统，光照不足时自动开灯；三是接入校园大数据平台，将环境数据与学生考勤、健康档案关联分析；四是探索基于历史数据的机器学习预测模型，实现教室环境的智能化预测调控。</w:t>
      </w:r>
    </w:p>
    <w:p>
      <w:pPr>
        <w:spacing w:before="240" w:after="120"/>
      </w:pPr>
      <w:r>
        <w:rPr>
          <w:rFonts w:ascii="Times New Roman" w:hAnsi="Times New Roman" w:eastAsia="黑体"/>
          <w:b/>
          <w:sz w:val="28"/>
        </w:rPr>
        <w:t>参考文献</w:t>
      </w:r>
    </w:p>
    <w:p>
      <w:pPr>
        <w:spacing w:line="440" w:lineRule="exact" w:after="40"/>
      </w:pPr>
      <w:r>
        <w:rPr>
          <w:rFonts w:ascii="Times New Roman" w:hAnsi="Times New Roman" w:eastAsia="宋体"/>
          <w:b w:val="0"/>
          <w:sz w:val="24"/>
        </w:rPr>
        <w:t>[1] 梁晓琳, 王鹏. 教室室内环境对学生学习效率影响的研究综述[J]. 建筑科学, 2022, 38(3): 45-51.</w:t>
      </w:r>
    </w:p>
    <w:p>
      <w:pPr>
        <w:spacing w:line="440" w:lineRule="exact" w:after="40"/>
      </w:pPr>
      <w:r>
        <w:rPr>
          <w:rFonts w:ascii="Times New Roman" w:hAnsi="Times New Roman" w:eastAsia="宋体"/>
          <w:b w:val="0"/>
          <w:sz w:val="24"/>
        </w:rPr>
        <w:t>[2] 刘云浩. 物联网导论[M]. 第4版. 北京: 科学出版社, 2022.</w:t>
      </w:r>
    </w:p>
    <w:p>
      <w:pPr>
        <w:spacing w:line="440" w:lineRule="exact" w:after="40"/>
      </w:pPr>
      <w:r>
        <w:rPr>
          <w:rFonts w:ascii="Times New Roman" w:hAnsi="Times New Roman" w:eastAsia="宋体"/>
          <w:b w:val="0"/>
          <w:sz w:val="24"/>
        </w:rPr>
        <w:t>[3] 教育部. 教育信息化2.0行动计划[Z]. 2018.</w:t>
      </w:r>
    </w:p>
    <w:p>
      <w:pPr>
        <w:spacing w:line="440" w:lineRule="exact" w:after="40"/>
      </w:pPr>
      <w:r>
        <w:rPr>
          <w:rFonts w:ascii="Times New Roman" w:hAnsi="Times New Roman" w:eastAsia="宋体"/>
          <w:b w:val="0"/>
          <w:sz w:val="24"/>
        </w:rPr>
        <w:t>[4] STMicroelectronics. STM32F103x8/STM32F103xB Datasheet[Z]. 2023.</w:t>
      </w:r>
    </w:p>
    <w:p>
      <w:pPr>
        <w:spacing w:line="440" w:lineRule="exact" w:after="40"/>
      </w:pPr>
      <w:r>
        <w:rPr>
          <w:rFonts w:ascii="Times New Roman" w:hAnsi="Times New Roman" w:eastAsia="宋体"/>
          <w:b w:val="0"/>
          <w:sz w:val="24"/>
        </w:rPr>
        <w:t>[5] Winsen Electronics. MH-Z19C NDIR CO₂ Sensor Datasheet[Z]. 2022.</w:t>
      </w:r>
    </w:p>
    <w:p>
      <w:pPr>
        <w:spacing w:line="440" w:lineRule="exact" w:after="40"/>
      </w:pPr>
      <w:r>
        <w:rPr>
          <w:rFonts w:ascii="Times New Roman" w:hAnsi="Times New Roman" w:eastAsia="宋体"/>
          <w:b w:val="0"/>
          <w:sz w:val="24"/>
        </w:rPr>
        <w:t>[6] OASIS. MQTT Version 5.0 Specification[S]. 2019.</w:t>
      </w:r>
    </w:p>
    <w:p>
      <w:pPr>
        <w:spacing w:line="440" w:lineRule="exact" w:after="40"/>
      </w:pPr>
      <w:r>
        <w:rPr>
          <w:rFonts w:ascii="Times New Roman" w:hAnsi="Times New Roman" w:eastAsia="宋体"/>
          <w:b w:val="0"/>
          <w:sz w:val="24"/>
        </w:rPr>
        <w:t>[7] 张毅, 李伟. 基于STM32和MQTT的远程环境监测系统设计[J]. 电子技术应用, 2023, 49(5): 78-82.</w:t>
      </w:r>
    </w:p>
    <w:p>
      <w:pPr>
        <w:spacing w:line="440" w:lineRule="exact" w:after="40"/>
      </w:pPr>
      <w:r>
        <w:rPr>
          <w:rFonts w:ascii="Times New Roman" w:hAnsi="Times New Roman" w:eastAsia="宋体"/>
          <w:b w:val="0"/>
          <w:sz w:val="24"/>
        </w:rPr>
        <w:t>[8] 国家质量监督检验检疫总局. GB 7793-2010 中小学校教室采光和照明卫生标准[S]. 2010.</w:t>
      </w:r>
    </w:p>
    <w:p>
      <w:pPr>
        <w:spacing w:before="240" w:after="120"/>
      </w:pPr>
      <w:r>
        <w:rPr>
          <w:rFonts w:ascii="Times New Roman" w:hAnsi="Times New Roman" w:eastAsia="黑体"/>
          <w:b/>
          <w:sz w:val="28"/>
        </w:rPr>
        <w:t>实验总结与心得体会</w:t>
      </w:r>
    </w:p>
    <w:p>
      <w:pPr>
        <w:spacing w:line="440" w:lineRule="exact" w:after="120"/>
        <w:ind w:firstLine="420"/>
      </w:pPr>
      <w:r>
        <w:rPr>
          <w:rFonts w:ascii="Times New Roman" w:hAnsi="Times New Roman" w:eastAsia="宋体"/>
          <w:b w:val="0"/>
          <w:sz w:val="24"/>
        </w:rPr>
        <w:t>通过本次实验，我完成了从选题、调研、需求分析到多维度可行性论证的完整流程，对工程项目可行性报告的撰写方法和学术小论文的规范结构有了系统认识。在撰写过程中，我深刻感受到需求分析必须源于实际调研而非主观臆想，经济可行性论证需要基于真实的市场价格逐项核算才能令人信服。多传感器融合方案的设计让我对物联网系统的整体架构有了更深入的理解。不足之处在于实地调研样本有限、文献综述深度不够，后续应加强现场数据采集和学术文献的系统检索，以进一步提升论证的说服力和论文的学术规范性。</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