
<file path=[Content_Types].xml><?xml version="1.0" encoding="utf-8"?>
<ct:Types xmlns="http://schemas.openxmlformats.org/package/2006/content-typ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a="http://schemas.openxmlformats.org/drawingml/2006/main"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t="http://schemas.openxmlformats.org/package/2006/content-types">
  <ct:Default Extension="emf" ContentType="image/emf"/>
  <ct:Default Extension="rels" ContentType="application/vnd.openxmlformats-package.relationships+xml"/>
  <ct:Default Extension="xml" ContentType="application/xml"/>
  <ct:Override PartName="/word/document.xml" ContentType="application/vnd.openxmlformats-officedocument.wordprocessingml.document.main+xml"/>
  <ct:Override PartName="/customXml/itemProps1.xml" ContentType="application/vnd.openxmlformats-officedocument.customXmlProperties+xml"/>
  <ct:Override PartName="/word/numbering.xml" ContentType="application/vnd.openxmlformats-officedocument.wordprocessingml.numbering+xml"/>
  <ct:Override PartName="/word/styles.xml" ContentType="application/vnd.openxmlformats-officedocument.wordprocessingml.styles+xml"/>
  <ct:Override PartName="/word/settings.xml" ContentType="application/vnd.openxmlformats-officedocument.wordprocessingml.settings+xml"/>
  <ct:Override PartName="/word/webSettings.xml" ContentType="application/vnd.openxmlformats-officedocument.wordprocessingml.webSettings+xml"/>
  <ct:Override PartName="/word/footnotes.xml" ContentType="application/vnd.openxmlformats-officedocument.wordprocessingml.footnotes+xml"/>
  <ct:Override PartName="/word/endnotes.xml" ContentType="application/vnd.openxmlformats-officedocument.wordprocessingml.endnotes+xml"/>
  <ct:Override PartName="/word/header1.xml" ContentType="application/vnd.openxmlformats-officedocument.wordprocessingml.header+xml"/>
  <ct:Override PartName="/word/header2.xml" ContentType="application/vnd.openxmlformats-officedocument.wordprocessingml.header+xml"/>
  <ct:Override PartName="/word/footer1.xml" ContentType="application/vnd.openxmlformats-officedocument.wordprocessingml.footer+xml"/>
  <ct:Override PartName="/word/header3.xml" ContentType="application/vnd.openxmlformats-officedocument.wordprocessingml.header+xml"/>
  <ct:Override PartName="/word/footer2.xml" ContentType="application/vnd.openxmlformats-officedocument.wordprocessingml.footer+xml"/>
  <ct:Override PartName="/word/fontTable.xml" ContentType="application/vnd.openxmlformats-officedocument.wordprocessingml.fontTable+xml"/>
  <ct:Override PartName="/word/theme/theme1.xml" ContentType="application/vnd.openxmlformats-officedocument.theme+xml"/>
  <ct:Override PartName="/docProps/core.xml" ContentType="application/vnd.openxmlformats-package.core-properties+xml"/>
  <ct:Override PartName="/docProps/app.xml" ContentType="application/vnd.openxmlformats-officedocument.extended-properties+xml"/>
</ct: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body>
    <w:bookmarkStart w:id="0" w:name="_GoBack" w:displacedByCustomXml="next"/>
    <w:bookmarkEnd w:id="0" w:displacedByCustomXml="next"/>
    <w:sdt>
      <w:sdtPr>
        <w:rPr>
          <w:b/>
        </w:rPr>
        <w:id w:val="-1373759524"/>
        <w:docPartObj>
          <w:docPartGallery w:val="Cover Pages"/>
          <w:docPartUnique/>
        </w:docPartObj>
      </w:sdtPr>
      <w:sdtEndPr>
        <w:rPr>
          <w:b w:val="0"/>
        </w:rPr>
      </w:sdtEndPr>
      <w:sdtContent>
        <w:p w:rsidR="006061E5" w:rsidRDefault="00214BA4" w:rsidP="00721064">
          <w:r>
            <w:pict>
              <v:rect id="Rechteck 16" o:spid="_x0000_s1026" style="position:absolute;margin-left:11.9pt;margin-top:16.85pt;width:422.3pt;height:760.1pt;z-index:-251655168;visibility:visible;mso-width-percent:690;mso-height-percent:960;mso-position-horizontal-relative:page;mso-position-vertical-relative:page;mso-width-percent:690;mso-height-percent:96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" fillcolor="#375523 [2150]" stroked="f">
                <v:fill color2="#93c573 [1942]" rotate="t" angle="180" colors="0 #385624;.25 #578838;34079f #94c674" focus="100%" type="gradient"/>
                <v:path arrowok="t"/>
                <v:textbox style="mso-next-textbox:#Rechteck 16" inset="21.6pt,1in,21.6pt">
                  <w:txbxContent>
                    <w:sdt>
                      <w:sdtPr>
                        <w:rPr>
                          <w:caps/>
                          <w:sz w:val="80"/>
                          <w:szCs w:val="80"/>
                        </w:rPr>
                        <w:alias w:val="Titel"/>
                        <w:id w:val="-1275550102"/>
                        <w:showingPlcHdr/>
                        <w:dataBinding w:prefixMappings="xmlns:ns0='http://schemas.openxmlformats.org/package/2006/metadata/core-properties' xmlns:ns1='http://purl.org/dc/elements/1.1/'" w:xpath="/ns0:coreProperties[1]/ns1:title[1]" w:storeItemID="{6C3C8BC8-F283-45AE-878A-BAB7291924A1}"/>
                        <w:text/>
                      </w:sdtPr>
                      <w:sdtEndPr/>
                      <w:sdtContent>
                        <w:p>
                          <w:pPr>
                            <w:pStyle w:val="Titel"/>
                            <w:rPr/>
                          </w:pPr>
                          <w:r>
                            <w:rPr>
                              <w:rStyle w:val="Absatz-Standardschriftart"/>
                            </w:rPr>
                            <w:t xml:space="preserve">Aplastische Anämie - Diagnostik und Therapie der erworbenen Aplastischen Anämie</w:t>
                          </w:r>
                        </w:p>
                      </w:sdtContent>
                    </w:sdt>
                    <w:p>
                      <w:pPr>
                        <w:pStyle w:val="Metadaten"/>
                        <w:rPr/>
                      </w:pPr>
                      <w:r>
                        <w:rPr>
                          <w:rStyle w:val="Absatz-Standardschriftart"/>
                        </w:rPr>
                        <w:t xml:space="preserve">Sprache: </w:t>
                      </w:r>
                      <w:r>
                        <w:rPr>
                          <w:rStyle w:val="Absatz-Standardschriftart"/>
                        </w:rPr>
                        <w:t xml:space="preserve">German</w:t>
                      </w:r>
                    </w:p>
                    <w:p>
                      <w:pPr>
                        <w:pStyle w:val="Metadaten"/>
                        <w:rPr/>
                      </w:pPr>
                      <w:r>
                        <w:rPr>
                          <w:rStyle w:val="Absatz-Standardschriftart"/>
                        </w:rPr>
                        <w:t xml:space="preserve">Bereich: </w:t>
                      </w:r>
                      <w:r>
                        <w:rPr>
                          <w:rStyle w:val="Absatz-Standardschriftart"/>
                        </w:rPr>
                        <w:t xml:space="preserve">Onkopedia</w:t>
                      </w:r>
                    </w:p>
                    <w:p>
                      <w:pPr>
                        <w:pStyle w:val="Metadaten"/>
                        <w:rPr/>
                      </w:pPr>
                      <w:r>
                        <w:rPr>
                          <w:rStyle w:val="Absatz-Standardschriftart"/>
                        </w:rPr>
                        <w:t xml:space="preserve">Klassifizierung: </w:t>
                      </w:r>
                      <w:r>
                        <w:rPr>
                          <w:rStyle w:val="Absatz-Standardschriftart"/>
                        </w:rPr>
                        <w:t xml:space="preserve">ONKOPEDIA::Non-Malignant Hematologic Disorders</w:t>
                      </w:r>
                    </w:p>
                    <w:p>
                      <w:pPr>
                        <w:pStyle w:val="Metadaten"/>
                        <w:rPr/>
                      </w:pPr>
                      <w:r>
                        <w:rPr>
                          <w:rStyle w:val="Absatz-Standardschriftart"/>
                        </w:rPr>
                        <w:t xml:space="preserve">Fachgesellschaften: </w:t>
                      </w:r>
                      <w:r>
                        <w:rPr>
                          <w:rStyle w:val="Absatz-Standardschriftart"/>
                        </w:rPr>
                        <w:t xml:space="preserve">DGHO </w:t>
                      </w:r>
                      <w:r>
                        <w:rPr>
                          <w:rStyle w:val="Absatz-Standardschriftart"/>
                        </w:rPr>
                        <w:t xml:space="preserve">OeGHO</w:t>
                      </w:r>
                    </w:p>
                    <w:p>
                      <w:pPr>
                        <w:pStyle w:val="Metadaten"/>
                        <w:rPr/>
                      </w:pPr>
                      <w:r>
                        <w:rPr>
                          <w:rStyle w:val="Absatz-Standardschriftart"/>
                        </w:rPr>
                        <w:t xml:space="preserve">Stand: </w:t>
                      </w:r>
                      <w:r>
                        <w:rPr>
                          <w:rStyle w:val="Absatz-Standardschriftart"/>
                        </w:rPr>
                        <w:t xml:space="preserve">05/2012</w:t>
                      </w:r>
                    </w:p>
                    <w:p>
                      <w:pPr>
                        <w:pStyle w:val="Metadaten"/>
                        <w:rPr/>
                      </w:pPr>
                      <w:r>
                        <w:rPr>
                          <w:rStyle w:val="Absatz-Standardschriftart"/>
                        </w:rPr>
                        <w:t xml:space="preserve">DokumentTyp: </w:t>
                      </w:r>
                      <w:r>
                        <w:rPr>
                          <w:rStyle w:val="Absatz-Standardschriftart"/>
                        </w:rPr>
                        <w:t xml:space="preserve">Guideline</w:t>
                      </w:r>
                    </w:p>
                    <w:p>
                      <w:pPr>
                        <w:pStyle w:val="Metadaten"/>
                        <w:rPr/>
                      </w:pPr>
                      <w:r>
                        <w:rPr>
                          <w:rStyle w:val="Absatz-Standardschriftart"/>
                        </w:rPr>
                        <w:t xml:space="preserve">LLThema: </w:t>
                      </w:r>
                      <w:r>
                        <w:rPr>
                          <w:rStyle w:val="Absatz-Standardschriftart"/>
                        </w:rPr>
                        <w:t xml:space="preserve">Aplastische Anämie - Diagnostik und Therapie der erworbenen Aplastischen Anämie</w:t>
                      </w:r>
                    </w:p>
                    <w:p>
                      <w:pPr>
                        <w:pStyle w:val="Metadaten"/>
                        <w:rPr/>
                      </w:pPr>
                      <w:r>
                        <w:rPr>
                          <w:rStyle w:val="Absatz-Standardschriftart"/>
                        </w:rPr>
                        <w:t xml:space="preserve">Konvertierung am: </w:t>
                      </w:r>
                      <w:r>
                        <w:rPr>
                          <w:rStyle w:val="Absatz-Standardschriftart"/>
                        </w:rPr>
                        <w:t xml:space="preserve">08.12.2015 12:02</w:t>
                      </w:r>
                    </w:p>
                  </w:txbxContent>
                </v:textbox>
                <w10:wrap anchorx="page" anchory="page"/>
              </v:rect>
            </w:pict>
          </w:r>
          <w:r>
            <w:pict>
              <v:rect id="Rechteck 472" o:spid="_x0000_s1027" style="position:absolute;margin-left:0;margin-top:0;width:148.1pt;height:760.3pt;z-index:251662336;visibility:visible;mso-width-percent:242;mso-height-percent:960;mso-left-percent:730;mso-position-horizontal-relative:page;mso-position-vertical:center;mso-position-vertical-relative:page;mso-width-percent:242;mso-height-percent:960;mso-left-percent:73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" fillcolor="#e7e6e6 [3214]" stroked="f" strokeweight="1pt">
                <v:path arrowok="t"/>
                <v:textbox style="mso-next-textbox:#Rechteck 472" inset="14.4pt,,14.4pt">
                  <w:txbxContent>
                    <w:p>
                      <w:pPr>
                        <w:pStyle w:val="LLAutoren-berschrift"/>
                        <w:rPr/>
                      </w:pPr>
                      <w:r>
                        <w:rPr/>
                        <w:t xml:space="preserve">Autoren der Leitlinie</w:t>
                      </w:r>
                    </w:p>
                    <w:p>
                      <w:pPr>
                        <w:pStyle w:val="LL-Autoren"/>
                        <w:rPr/>
                      </w:pPr>
                      <w:r>
                        <w:rPr/>
                        <w:t xml:space="preserve">Schrezenmeier, Hubert</w:t>
                      </w:r>
                    </w:p>
                    <w:p>
                      <w:pPr>
                        <w:pStyle w:val="LL-Autoren"/>
                        <w:rPr/>
                      </w:pPr>
                      <w:r>
                        <w:rPr/>
                        <w:t xml:space="preserve">Brümmendorf, Tim Henrik</w:t>
                      </w:r>
                    </w:p>
                    <w:p>
                      <w:pPr>
                        <w:pStyle w:val="LL-Autoren"/>
                        <w:rPr/>
                      </w:pPr>
                      <w:r>
                        <w:rPr/>
                        <w:t xml:space="preserve">Linkesch, Werner</w:t>
                      </w:r>
                    </w:p>
                    <w:p>
                      <w:pPr>
                        <w:pStyle w:val="LL-Autoren"/>
                        <w:rPr/>
                      </w:pPr>
                      <w:r>
                        <w:rPr/>
                        <w:t xml:space="preserve">Schubert, Jörg</w:t>
                      </w:r>
                    </w:p>
                    <w:p>
                      <w:pPr>
                        <w:pStyle w:val="LL-Autoren"/>
                        <w:rPr/>
                      </w:pPr>
                      <w:r>
                        <w:rPr/>
                        <w:t xml:space="preserve">Röth, Alexander</w:t>
                      </w:r>
                    </w:p>
                    <w:p>
                      <w:pPr>
                        <w:pStyle w:val="LL-Autoren"/>
                        <w:rPr/>
                      </w:pPr>
                      <w:r>
                        <w:rPr/>
                        <w:t xml:space="preserve">Höchsmann, Britta</w:t>
                      </w:r>
                    </w:p>
                    <w:p>
                      <w:pPr>
                        <w:pStyle w:val="LL-Autoren"/>
                        <w:rPr/>
                      </w:pPr>
                      <w:r>
                        <w:rPr/>
                        <w:t xml:space="preserve">Deeg, Hans Joachim</w:t>
                      </w:r>
                    </w:p>
                  </w:txbxContent>
                </v:textbox>
                <w10:wrap anchorx="page" anchory="page"/>
              </v:rect>
            </w:pict>
          </w:r>
        </w:p>
        <w:sdt>
          <w:sdtPr>
            <w:id w:val="1670601181"/>
            <w:docPartObj>
              <w:docPartGallery w:val="Cover Pages"/>
              <w:docPartUnique/>
            </w:docPartObj>
          </w:sdtPr>
          <w:sdtEndPr/>
          <w:sdtContent>
            <w:p w:rsidR="006061E5" w:rsidRPr="00F73A94" w:rsidRDefault="00214BA4" w:rsidP="006061E5">
              <w:r>
                <w:pict>
                  <v:rect id="_x0000_s1029" style="position:absolute;margin-left:11.9pt;margin-top:16.85pt;width:422.3pt;height:760.1pt;z-index:-251652096;visibility:visible;mso-width-percent:690;mso-height-percent:960;mso-position-horizontal-relative:page;mso-position-vertical-relative:page;mso-width-percent:690;mso-height-percent:96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" fillcolor="#375523 [2150]" stroked="f">
                    <v:fill color2="#93c573 [1942]" rotate="t" angle="180" colors="0 #385624;.25 #578838;34079f #94c674" focus="100%" type="gradient"/>
                    <v:path arrowok="t"/>
                    <v:textbox style="mso-next-textbox:#_x0000_s1029" inset="21.6pt,1in,21.6pt">
                      <w:txbxContent>
                        <w:sdt>
                          <w:sdtPr>
                            <w:rPr>
                              <w:caps/>
                              <w:sz w:val="80"/>
                              <w:szCs w:val="80"/>
                            </w:rPr>
                            <w:alias w:val="Titel"/>
                            <w:id w:val="-915625910"/>
                            <w:showingPlcHdr/>
                            <w:dataBinding w:prefixMappings="xmlns:ns0='http://schemas.openxmlformats.org/package/2006/metadata/core-properties' xmlns:ns1='http://purl.org/dc/elements/1.1/'" w:xpath="/ns0:coreProperties[1]/ns1:title[1]" w:storeItemID="{6C3C8BC8-F283-45AE-878A-BAB7291924A1}"/>
                            <w:text/>
                          </w:sdtPr>
                          <w:sdtEndPr/>
                          <w:sdtContent>
                            <w:p>
                              <w:pPr>
                                <w:pStyle w:val="Titel"/>
                                <w:rPr/>
                              </w:pPr>
                              <w:r>
                                <w:rPr>
                                  <w:rStyle w:val="Absatz-Standardschriftart"/>
                                </w:rPr>
                                <w:t xml:space="preserve">Aplastische Anämie - Diagnostik und Therapie der erworbenen Aplastischen Anämie</w:t>
                              </w:r>
                            </w:p>
                          </w:sdtContent>
                        </w:sdt>
                        <w:p>
                          <w:pPr>
                            <w:pStyle w:val="Metadaten"/>
                            <w:rPr/>
                          </w:pPr>
                          <w:r>
                            <w:rPr>
                              <w:rStyle w:val="Absatz-Standardschriftart"/>
                            </w:rPr>
                            <w:t xml:space="preserve">Sprache: </w:t>
                          </w:r>
                          <w:r>
                            <w:rPr>
                              <w:rStyle w:val="Absatz-Standardschriftart"/>
                            </w:rPr>
                            <w:t xml:space="preserve">German</w:t>
                          </w:r>
                        </w:p>
                        <w:p>
                          <w:pPr>
                            <w:pStyle w:val="Metadaten"/>
                            <w:rPr/>
                          </w:pPr>
                          <w:r>
                            <w:rPr>
                              <w:rStyle w:val="Absatz-Standardschriftart"/>
                            </w:rPr>
                            <w:t xml:space="preserve">Bereich: </w:t>
                          </w:r>
                          <w:r>
                            <w:rPr>
                              <w:rStyle w:val="Absatz-Standardschriftart"/>
                            </w:rPr>
                            <w:t xml:space="preserve">Onkopedia</w:t>
                          </w:r>
                        </w:p>
                        <w:p>
                          <w:pPr>
                            <w:pStyle w:val="Metadaten"/>
                            <w:rPr/>
                          </w:pPr>
                          <w:r>
                            <w:rPr>
                              <w:rStyle w:val="Absatz-Standardschriftart"/>
                            </w:rPr>
                            <w:t xml:space="preserve">Klassifizierung: </w:t>
                          </w:r>
                          <w:r>
                            <w:rPr>
                              <w:rStyle w:val="Absatz-Standardschriftart"/>
                            </w:rPr>
                            <w:t xml:space="preserve">ONKOPEDIA::Non-Malignant Hematologic Disorders</w:t>
                          </w:r>
                        </w:p>
                        <w:p>
                          <w:pPr>
                            <w:pStyle w:val="Metadaten"/>
                            <w:rPr/>
                          </w:pPr>
                          <w:r>
                            <w:rPr>
                              <w:rStyle w:val="Absatz-Standardschriftart"/>
                            </w:rPr>
                            <w:t xml:space="preserve">Fachgesellschaften: </w:t>
                          </w:r>
                          <w:r>
                            <w:rPr>
                              <w:rStyle w:val="Absatz-Standardschriftart"/>
                            </w:rPr>
                            <w:t xml:space="preserve">DGHO </w:t>
                          </w:r>
                          <w:r>
                            <w:rPr>
                              <w:rStyle w:val="Absatz-Standardschriftart"/>
                            </w:rPr>
                            <w:t xml:space="preserve">OeGHO</w:t>
                          </w:r>
                        </w:p>
                        <w:p>
                          <w:pPr>
                            <w:pStyle w:val="Metadaten"/>
                            <w:rPr/>
                          </w:pPr>
                          <w:r>
                            <w:rPr>
                              <w:rStyle w:val="Absatz-Standardschriftart"/>
                            </w:rPr>
                            <w:t xml:space="preserve">Stand: </w:t>
                          </w:r>
                          <w:r>
                            <w:rPr>
                              <w:rStyle w:val="Absatz-Standardschriftart"/>
                            </w:rPr>
                            <w:t xml:space="preserve">05/2012</w:t>
                          </w:r>
                        </w:p>
                        <w:p>
                          <w:pPr>
                            <w:pStyle w:val="Metadaten"/>
                            <w:rPr/>
                          </w:pPr>
                          <w:r>
                            <w:rPr>
                              <w:rStyle w:val="Absatz-Standardschriftart"/>
                            </w:rPr>
                            <w:t xml:space="preserve">DokumentTyp: </w:t>
                          </w:r>
                          <w:r>
                            <w:rPr>
                              <w:rStyle w:val="Absatz-Standardschriftart"/>
                            </w:rPr>
                            <w:t xml:space="preserve">Guideline</w:t>
                          </w:r>
                        </w:p>
                        <w:p>
                          <w:pPr>
                            <w:pStyle w:val="Metadaten"/>
                            <w:rPr/>
                          </w:pPr>
                          <w:r>
                            <w:rPr>
                              <w:rStyle w:val="Absatz-Standardschriftart"/>
                            </w:rPr>
                            <w:t xml:space="preserve">LLThema: </w:t>
                          </w:r>
                          <w:r>
                            <w:rPr>
                              <w:rStyle w:val="Absatz-Standardschriftart"/>
                            </w:rPr>
                            <w:t xml:space="preserve">Aplastische Anämie - Diagnostik und Therapie der erworbenen Aplastischen Anämie</w:t>
                          </w:r>
                        </w:p>
                        <w:p>
                          <w:pPr>
                            <w:pStyle w:val="Metadaten"/>
                            <w:rPr/>
                          </w:pPr>
                          <w:r>
                            <w:rPr>
                              <w:rStyle w:val="Absatz-Standardschriftart"/>
                            </w:rPr>
                            <w:t xml:space="preserve">Konvertierung am: </w:t>
                          </w:r>
                          <w:r>
                            <w:rPr>
                              <w:rStyle w:val="Absatz-Standardschriftart"/>
                            </w:rPr>
                            <w:t xml:space="preserve">08.12.2015 12:02</w:t>
                          </w:r>
                        </w:p>
                      </w:txbxContent>
                    </v:textbox>
                    <w10:wrap anchorx="page" anchory="page"/>
                  </v:rect>
                </w:pict>
              </w:r>
              <w:r>
                <w:pict>
                  <v:rect id="_x0000_s1030" style="position:absolute;margin-left:0;margin-top:0;width:148.1pt;height:760.3pt;z-index:251665408;visibility:visible;mso-width-percent:242;mso-height-percent:960;mso-left-percent:730;mso-position-horizontal-relative:page;mso-position-vertical:center;mso-position-vertical-relative:page;mso-width-percent:242;mso-height-percent:960;mso-left-percent:73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" fillcolor="#e7e6e6 [3214]" stroked="f" strokeweight="1pt">
                    <v:path arrowok="t"/>
                    <v:textbox style="mso-next-textbox:#_x0000_s1030" inset="14.4pt,,14.4pt">
                      <w:txbxContent>
                        <w:p>
                          <w:pPr>
                            <w:pStyle w:val="LLAutoren-berschrift"/>
                            <w:rPr/>
                          </w:pPr>
                          <w:r>
                            <w:rPr/>
                            <w:t xml:space="preserve">Autoren der Leitlinie</w:t>
                          </w:r>
                        </w:p>
                        <w:p>
                          <w:pPr>
                            <w:pStyle w:val="LL-Autoren"/>
                            <w:rPr/>
                          </w:pPr>
                          <w:r>
                            <w:rPr/>
                            <w:t xml:space="preserve">Schrezenmeier, Hubert</w:t>
                          </w:r>
                        </w:p>
                        <w:p>
                          <w:pPr>
                            <w:pStyle w:val="LL-Autoren"/>
                            <w:rPr/>
                          </w:pPr>
                          <w:r>
                            <w:rPr/>
                            <w:t xml:space="preserve">Brümmendorf, Tim Henrik</w:t>
                          </w:r>
                        </w:p>
                        <w:p>
                          <w:pPr>
                            <w:pStyle w:val="LL-Autoren"/>
                            <w:rPr/>
                          </w:pPr>
                          <w:r>
                            <w:rPr/>
                            <w:t xml:space="preserve">Linkesch, Werner</w:t>
                          </w:r>
                        </w:p>
                        <w:p>
                          <w:pPr>
                            <w:pStyle w:val="LL-Autoren"/>
                            <w:rPr/>
                          </w:pPr>
                          <w:r>
                            <w:rPr/>
                            <w:t xml:space="preserve">Schubert, Jörg</w:t>
                          </w:r>
                        </w:p>
                        <w:p>
                          <w:pPr>
                            <w:pStyle w:val="LL-Autoren"/>
                            <w:rPr/>
                          </w:pPr>
                          <w:r>
                            <w:rPr/>
                            <w:t xml:space="preserve">Röth, Alexander</w:t>
                          </w:r>
                        </w:p>
                        <w:p>
                          <w:pPr>
                            <w:pStyle w:val="LL-Autoren"/>
                            <w:rPr/>
                          </w:pPr>
                          <w:r>
                            <w:rPr/>
                            <w:t xml:space="preserve">Höchsmann, Britta</w:t>
                          </w:r>
                        </w:p>
                        <w:p>
                          <w:pPr>
                            <w:pStyle w:val="LL-Autoren"/>
                            <w:rPr/>
                          </w:pPr>
                          <w:r>
                            <w:rPr/>
                            <w:t xml:space="preserve">Deeg, Hans Joachim</w:t>
                          </w:r>
                        </w:p>
                      </w:txbxContent>
                    </v:textbox>
                    <w10:wrap anchorx="page" anchory="page"/>
                  </v:rect>
                </w:pict>
              </w:r>
            </w:p>
            <w:p w:rsidR="006061E5" w:rsidRDefault="006061E5" w:rsidP="006061E5"/>
            <w:p w:rsidR="006061E5" w:rsidRDefault="006061E5" w:rsidP="006061E5">
              <w:r>
                <w:br w:type="page"/>
              </w:r>
            </w:p>
          </w:sdtContent>
        </w:sdt>
        <w:p w:rsidR="00FF0C3B" w:rsidRPr="00B725F1" w:rsidRDefault="00214BA4" w:rsidP="009960EA"/>
      </w:sdtContent>
    </w:sdt>
    <w:p>
      <w:pPr>
        <w:pStyle w:val="berschrift1"/>
        <w:rPr/>
      </w:pPr>
      <w:bookmarkStart w:id="10000" w:name="ID0EG"/>
      <w:bookmarkEnd w:id="10000"/>
      <w:r>
        <w:rPr/>
        <w:t xml:space="preserve">Definition und Basisinformationen</w:t>
      </w:r>
    </w:p>
    <w:p>
      <w:pPr>
        <w:pStyle w:val="Standard"/>
        <w:rPr/>
      </w:pPr>
      <w:bookmarkStart w:id="10001" w:name="ID0EL"/>
      <w:bookmarkEnd w:id="10001"/>
      <w:r>
        <w:rPr/>
        <w:t xml:space="preserve">Als erworbene </w:t>
      </w:r>
      <w:r>
        <w:rPr>
          <w:rStyle w:val="Absatz-Standardschriftart"/>
          <w:b/>
        </w:rPr>
        <w:t xml:space="preserve">aplastische Anämie (AA) </w:t>
      </w:r>
      <w:r>
        <w:rPr/>
        <w:t xml:space="preserve">(Synonyma: Panmyelopathie, Panmyelophthise) wird eine Gruppe pathogenetisch uneinheitlicher Knochenmarkinsuffizienzen zusammengefasst. Diese sind gekennzeichnet durch eine Bi- oder Trizytopenie (Anämie, Granulozytopenie, Thrombozytopenie in unterschiedlichen Kombinationen), die durch eine hämatopoetische Insuffizienz infolge Hypo- oder Aplasie des hämatopoetischen Knochenmarks entsteht </w:t>
      </w:r>
      <w:r>
        <w:rPr>
          <w:rStyle w:val="Literaturverweis"/>
        </w:rPr>
        <w:t xml:space="preserve">[</w:t>
      </w:r>
      <w:hyperlink w:anchor="litID0ERFAG" w:history="1">
        <w:r>
          <w:rPr>
            <w:rStyle w:val="Literaturverweis"/>
          </w:rPr>
          <w:t xml:space="preserve">1</w:t>
        </w:r>
      </w:hyperlink>
      <w:r>
        <w:rPr>
          <w:rStyle w:val="Literaturverweis"/>
        </w:rPr>
        <w:t xml:space="preserve">]</w:t>
      </w:r>
      <w:r>
        <w:rPr/>
        <w:t xml:space="preserve">.</w:t>
      </w:r>
    </w:p>
    <w:p>
      <w:pPr>
        <w:pStyle w:val="Standard"/>
        <w:rPr/>
      </w:pPr>
      <w:bookmarkStart w:id="10003" w:name="ID0EV"/>
      <w:bookmarkEnd w:id="10003"/>
      <w:r>
        <w:rPr/>
        <w:t xml:space="preserve">Knochenmarkinsuffizienzen infolge von Exposition gegenüber ionisierenden Strahlen oder obligat myelotoxischen Substanzen werden nicht als aplastische Anämie bezeichnet. Ebenso muss die aplastische Anämie streng von der isoliert aplastischen Anämie (PRCA, „pure red cell aplasia“) abgegrenzt werden. Letztere manifestiert sich nur in einer Zellreihe, unterscheidet sich in der Pathogenese und im therapeutischen Vorgehen.</w:t>
      </w:r>
    </w:p>
    <w:p>
      <w:pPr>
        <w:pStyle w:val="Standard"/>
        <w:rPr/>
      </w:pPr>
      <w:bookmarkStart w:id="10004" w:name="ID0EX"/>
      <w:bookmarkEnd w:id="10004"/>
      <w:r>
        <w:rPr/>
        <w:t xml:space="preserve">Die Inzidenz der AA beträgt in Mitteleuropa ca. 2-3/106/Jahr. Eine erworbene aplastische Anämie kann in jedem Lebensalter auftreten. Die Altersverteilung zeigt zwei Gipfel, einen zwischen 10 und 25 Jahren und einen zweiten bei über 60-Jährigen. Es besteht keine Geschlechtsprädilektion.</w:t>
      </w:r>
    </w:p>
    <w:p>
      <w:pPr>
        <w:pStyle w:val="berschrift1"/>
        <w:rPr/>
      </w:pPr>
      <w:bookmarkStart w:id="10005" w:name="ID0E2"/>
      <w:bookmarkEnd w:id="10005"/>
      <w:r>
        <w:rPr/>
        <w:t xml:space="preserve">Klassifikation</w:t>
      </w:r>
    </w:p>
    <w:p>
      <w:pPr>
        <w:pStyle w:val="Listeneinfhrung"/>
        <w:rPr/>
      </w:pPr>
      <w:bookmarkStart w:id="10006" w:name="ID0EAB"/>
      <w:bookmarkEnd w:id="10006"/>
      <w:r>
        <w:rPr/>
        <w:t xml:space="preserve">Für die Diagnose einer aplastischen Anämie muss obligat eine Hypoplasie oder Aplasie im Knochenmark vorliegen (siehe Kapitel Kapitel </w:t>
      </w:r>
      <w:hyperlink w:anchor="ID0EIBAC" w:history="1">
        <w:r>
          <w:rPr>
            <w:rStyle w:val="Hyperlink"/>
          </w:rPr>
          <w:t xml:space="preserve">4.1</w:t>
        </w:r>
      </w:hyperlink>
      <w:r>
        <w:rPr/>
        <w:t xml:space="preserve">). Die Unterteilung der AA erfolgt jedoch ausschließlich auf der Basis der Blutbildwerte:</w:t>
      </w:r>
    </w:p>
    <w:p>
      <w:pPr>
        <w:pStyle w:val="Liste1"/>
        <w:numPr>
          <w:ilvl w:val="0"/>
          <w:numId w:val="43"/>
        </w:numPr>
        <w:rPr/>
      </w:pPr>
      <w:bookmarkStart w:id="10008" w:name="ID0ENB"/>
      <w:bookmarkEnd w:id="10008"/>
      <w:r>
        <w:rPr/>
        <w:t xml:space="preserve">mäßig schwere aplastische Anämie = MAA oder </w:t>
      </w:r>
      <w:r>
        <w:rPr>
          <w:rStyle w:val="Absatz-Standardschriftart"/>
          <w:b/>
        </w:rPr>
        <w:t xml:space="preserve">nSAA </w:t>
      </w:r>
      <w:r>
        <w:rPr/>
        <w:t xml:space="preserve">(„non-severe AA“)</w:t>
      </w:r>
    </w:p>
    <w:p>
      <w:pPr>
        <w:pStyle w:val="Liste1"/>
        <w:numPr>
          <w:ilvl w:val="0"/>
          <w:numId w:val="43"/>
        </w:numPr>
        <w:rPr/>
      </w:pPr>
      <w:bookmarkStart w:id="10009" w:name="ID0EUB"/>
      <w:bookmarkEnd w:id="10009"/>
      <w:r>
        <w:rPr/>
        <w:t xml:space="preserve">schwere aplastische Anämie = </w:t>
      </w:r>
      <w:r>
        <w:rPr>
          <w:rStyle w:val="Absatz-Standardschriftart"/>
          <w:b/>
        </w:rPr>
        <w:t xml:space="preserve">SAA</w:t>
      </w:r>
    </w:p>
    <w:p>
      <w:pPr>
        <w:pStyle w:val="Liste1"/>
        <w:numPr>
          <w:ilvl w:val="0"/>
          <w:numId w:val="43"/>
        </w:numPr>
        <w:rPr/>
      </w:pPr>
      <w:bookmarkStart w:id="10010" w:name="ID0E1B"/>
      <w:bookmarkEnd w:id="10010"/>
      <w:r>
        <w:rPr/>
        <w:t xml:space="preserve">sehr schwere aplastische Anämie = </w:t>
      </w:r>
      <w:r>
        <w:rPr>
          <w:rStyle w:val="Absatz-Standardschriftart"/>
          <w:b/>
        </w:rPr>
        <w:t xml:space="preserve">vSAA </w:t>
      </w:r>
      <w:r>
        <w:rPr/>
        <w:t xml:space="preserve">(„very severe AA)</w:t>
      </w:r>
    </w:p>
    <w:p>
      <w:pPr>
        <w:pStyle w:val="Standard"/>
        <w:rPr/>
      </w:pPr>
      <w:bookmarkStart w:id="10011" w:name="ID0EAC"/>
      <w:bookmarkEnd w:id="10011"/>
      <w:r>
        <w:rPr/>
        <w:t xml:space="preserve">Grenzwerte sind in </w:t>
      </w:r>
      <w:hyperlink w:anchor="ID0EMC" w:history="1">
        <w:r>
          <w:rPr>
            <w:rStyle w:val="Hyperlink"/>
          </w:rPr>
          <w:t xml:space="preserve">Tabelle1</w:t>
        </w:r>
      </w:hyperlink>
      <w:r>
        <w:rPr/>
        <w:t xml:space="preserve"> zusammengefasst (zwei von drei Blutkriterien müssen erfüllt sein).</w:t>
      </w:r>
    </w:p>
    <w:p>
      <w:pPr>
        <w:pStyle w:val="Tabellenbeschriftung"/>
        <w:rPr/>
      </w:pPr>
      <w:bookmarkStart w:id="10013" w:name="ID0EMC"/>
      <w:r>
        <w:rPr>
          <w:rStyle w:val="Absatz-Standardschriftart"/>
        </w:rPr>
        <w:t xml:space="preserve">Tabelle 1</w:t>
      </w:r>
      <w:bookmarkEnd w:id="10013"/>
      <w:r>
        <w:rPr>
          <w:rStyle w:val="Absatz-Standardschriftart"/>
        </w:rPr>
        <w:t xml:space="preserve">: </w:t>
      </w:r>
      <w:r>
        <w:rPr/>
        <w:t xml:space="preserve">Klassifikation der Aplastischen Anämie (zwei von drei Kriterien müssen erfüllt sein)</w:t>
      </w:r>
    </w:p>
    <w:tbl>
      <w:tblPr>
        <w:tblStyle w:val="TabelleKomplett"/>
        <w:tblW w:type="dxa" w:w="9640"/>
        <w:tblLayout w:type="fixed"/>
      </w:tblPr>
      <w:tblGrid>
        <w:gridCol w:w="4123"/>
        <w:gridCol w:w="1764"/>
        <w:gridCol w:w="1764"/>
        <w:gridCol w:w="1989"/>
      </w:tblGrid>
      <w:tr>
        <w:trPr>
          <w:cnfStyle w:val="100000000000" w:firstRow="1" w:lastRow="0" w:firstColumn="0" w:lastColumn="0" w:oddVBand="0" w:evenVBand="0" w:oddHBand="0" w:evenHBand="0" w:firstRowFirstColumn="0" w:firstRowLastColumn="0" w:lastRowFirstColumn="0" w:lastRowLastColumn="0"/>
          <w:tblHeader/>
        </w:trPr>
        <w:tc>
          <w:tcPr/>
          <w:p>
            <w:pPr>
              <w:pStyle w:val="Tabellenkopf"/>
              <w:rPr/>
            </w:pPr>
            <w:bookmarkStart w:id="10014" w:name="ID0EFD"/>
            <w:bookmarkEnd w:id="10014"/>
            <w:r>
              <w:rPr/>
              <w:t xml:space="preserve"> </w:t>
            </w:r>
          </w:p>
        </w:tc>
        <w:tc>
          <w:tcPr/>
          <w:p>
            <w:pPr>
              <w:pStyle w:val="Tabellenkopf"/>
              <w:rPr/>
            </w:pPr>
            <w:bookmarkStart w:id="10015" w:name="ID0ELD"/>
            <w:bookmarkEnd w:id="10015"/>
            <w:r>
              <w:rPr/>
              <w:t xml:space="preserve">nSAA</w:t>
            </w:r>
          </w:p>
        </w:tc>
        <w:tc>
          <w:tcPr/>
          <w:p>
            <w:pPr>
              <w:pStyle w:val="Tabellenkopf"/>
              <w:rPr/>
            </w:pPr>
            <w:bookmarkStart w:id="10016" w:name="ID0EQD"/>
            <w:bookmarkEnd w:id="10016"/>
            <w:r>
              <w:rPr/>
              <w:t xml:space="preserve">SAA</w:t>
            </w:r>
          </w:p>
        </w:tc>
        <w:tc>
          <w:tcPr/>
          <w:p>
            <w:pPr>
              <w:pStyle w:val="Tabellenkopf"/>
              <w:rPr/>
            </w:pPr>
            <w:bookmarkStart w:id="10017" w:name="ID0EVD"/>
            <w:bookmarkEnd w:id="10017"/>
            <w:r>
              <w:rPr/>
              <w:t xml:space="preserve">vSAA </w:t>
            </w:r>
          </w:p>
        </w:tc>
      </w:tr>
      <w:tr>
        <w:trPr>
          <w:cnfStyle w:val="100000000000" w:firstRow="0" w:lastRow="0" w:firstColumn="0" w:lastColumn="0" w:oddVBand="0" w:evenVBand="0" w:oddHBand="0" w:evenHBand="0" w:firstRowFirstColumn="0" w:firstRowLastColumn="0" w:lastRowFirstColumn="0" w:lastRowLastColumn="0"/>
        </w:trPr>
        <w:tc>
          <w:tcPr/>
          <w:p>
            <w:pPr>
              <w:pStyle w:val="Tabellenbody"/>
              <w:rPr/>
            </w:pPr>
            <w:bookmarkStart w:id="10018" w:name="ID0E2D"/>
            <w:bookmarkEnd w:id="10018"/>
            <w:r>
              <w:rPr/>
              <w:t xml:space="preserve">neutrophile Granulozyten </w:t>
            </w:r>
          </w:p>
        </w:tc>
        <w:tc>
          <w:tcPr/>
          <w:p>
            <w:pPr>
              <w:pStyle w:val="Tabellenbody"/>
              <w:rPr/>
            </w:pPr>
            <w:bookmarkStart w:id="10019" w:name="ID0EAE"/>
            <w:bookmarkEnd w:id="10019"/>
            <w:r>
              <w:rPr/>
              <w:t xml:space="preserve">&lt; 1.0 G/L</w:t>
            </w:r>
          </w:p>
        </w:tc>
        <w:tc>
          <w:tcPr/>
          <w:p>
            <w:pPr>
              <w:pStyle w:val="Tabellenbody"/>
              <w:rPr/>
            </w:pPr>
            <w:bookmarkStart w:id="10020" w:name="ID0EFE"/>
            <w:bookmarkEnd w:id="10020"/>
            <w:r>
              <w:rPr/>
              <w:t xml:space="preserve">&lt; 0.5 G/L  </w:t>
            </w:r>
          </w:p>
        </w:tc>
        <w:tc>
          <w:tcPr/>
          <w:p>
            <w:pPr>
              <w:pStyle w:val="Tabellenbody"/>
              <w:rPr/>
            </w:pPr>
            <w:bookmarkStart w:id="10021" w:name="ID0EKE"/>
            <w:bookmarkEnd w:id="10021"/>
            <w:r>
              <w:rPr/>
              <w:t xml:space="preserve">&lt; 0.2 G/L *</w:t>
            </w:r>
          </w:p>
        </w:tc>
      </w:tr>
      <w:tr>
        <w:trPr>
          <w:cnfStyle w:val="100000000000" w:firstRow="0" w:lastRow="0" w:firstColumn="0" w:lastColumn="0" w:oddVBand="0" w:evenVBand="0" w:oddHBand="0" w:evenHBand="0" w:firstRowFirstColumn="0" w:firstRowLastColumn="0" w:lastRowFirstColumn="0" w:lastRowLastColumn="0"/>
        </w:trPr>
        <w:tc>
          <w:tcPr/>
          <w:p>
            <w:pPr>
              <w:pStyle w:val="Tabellenbody"/>
              <w:rPr/>
            </w:pPr>
            <w:bookmarkStart w:id="10022" w:name="ID0EQE"/>
            <w:bookmarkEnd w:id="10022"/>
            <w:r>
              <w:rPr/>
              <w:t xml:space="preserve">Thrombozyten</w:t>
            </w:r>
          </w:p>
        </w:tc>
        <w:tc>
          <w:tcPr/>
          <w:p>
            <w:pPr>
              <w:pStyle w:val="Tabellenbody"/>
              <w:rPr/>
            </w:pPr>
            <w:bookmarkStart w:id="10023" w:name="ID0EVE"/>
            <w:bookmarkEnd w:id="10023"/>
            <w:r>
              <w:rPr/>
              <w:t xml:space="preserve">&lt; 50 G/L</w:t>
            </w:r>
          </w:p>
        </w:tc>
        <w:tc>
          <w:tcPr/>
          <w:p>
            <w:pPr>
              <w:pStyle w:val="Tabellenbody"/>
              <w:rPr/>
            </w:pPr>
            <w:bookmarkStart w:id="10024" w:name="ID0E1E"/>
            <w:bookmarkEnd w:id="10024"/>
            <w:r>
              <w:rPr/>
              <w:t xml:space="preserve">&lt; 20 G/L</w:t>
            </w:r>
          </w:p>
        </w:tc>
        <w:tc>
          <w:tcPr/>
          <w:p>
            <w:pPr>
              <w:pStyle w:val="Tabellenbody"/>
              <w:rPr/>
            </w:pPr>
            <w:bookmarkStart w:id="10025" w:name="ID0E6E"/>
            <w:bookmarkEnd w:id="10025"/>
            <w:r>
              <w:rPr/>
              <w:t xml:space="preserve">&lt; 20 G/L</w:t>
            </w:r>
          </w:p>
        </w:tc>
      </w:tr>
      <w:tr>
        <w:trPr>
          <w:cnfStyle w:val="100000000000" w:firstRow="0" w:lastRow="0" w:firstColumn="0" w:lastColumn="0" w:oddVBand="0" w:evenVBand="0" w:oddHBand="0" w:evenHBand="0" w:firstRowFirstColumn="0" w:firstRowLastColumn="0" w:lastRowFirstColumn="0" w:lastRowLastColumn="0"/>
        </w:trPr>
        <w:tc>
          <w:tcPr/>
          <w:p>
            <w:pPr>
              <w:pStyle w:val="Tabellenbody"/>
              <w:rPr/>
            </w:pPr>
            <w:bookmarkStart w:id="10026" w:name="ID0EFF"/>
            <w:bookmarkEnd w:id="10026"/>
            <w:r>
              <w:rPr/>
              <w:t xml:space="preserve">Retikulozyten</w:t>
            </w:r>
          </w:p>
        </w:tc>
        <w:tc>
          <w:tcPr/>
          <w:p>
            <w:pPr>
              <w:pStyle w:val="Tabellenbody"/>
              <w:rPr/>
            </w:pPr>
            <w:bookmarkStart w:id="10027" w:name="ID0EKF"/>
            <w:bookmarkEnd w:id="10027"/>
            <w:r>
              <w:rPr/>
              <w:t xml:space="preserve">&lt; 20 G/L</w:t>
            </w:r>
          </w:p>
        </w:tc>
        <w:tc>
          <w:tcPr/>
          <w:p>
            <w:pPr>
              <w:pStyle w:val="Tabellenbody"/>
              <w:rPr/>
            </w:pPr>
            <w:bookmarkStart w:id="10028" w:name="ID0EPF"/>
            <w:bookmarkEnd w:id="10028"/>
            <w:r>
              <w:rPr/>
              <w:t xml:space="preserve">&lt; 20 G/L</w:t>
            </w:r>
          </w:p>
        </w:tc>
        <w:tc>
          <w:tcPr/>
          <w:p>
            <w:pPr>
              <w:pStyle w:val="Tabellenbody"/>
              <w:rPr/>
            </w:pPr>
            <w:bookmarkStart w:id="10029" w:name="ID0EUF"/>
            <w:bookmarkEnd w:id="10029"/>
            <w:r>
              <w:rPr/>
              <w:t xml:space="preserve">&lt; 20 G/L</w:t>
            </w:r>
          </w:p>
        </w:tc>
      </w:tr>
    </w:tbl>
    <w:p>
      <w:pPr>
        <w:pStyle w:val="Legende"/>
        <w:rPr/>
      </w:pPr>
      <w:r>
        <w:rPr>
          <w:rStyle w:val="Absatz-Standardschriftart"/>
          <w:b/>
        </w:rPr>
        <w:t xml:space="preserve">Legende: </w:t>
      </w:r>
      <w:r>
        <w:rPr>
          <w:rStyle w:val="Absatz-Standardschriftart"/>
          <w:b/>
        </w:rPr>
        <w:t xml:space="preserve">   </w:t>
      </w:r>
      <w:r>
        <w:rPr>
          <w:rStyle w:val="Absatz-Standardschriftart"/>
        </w:rPr>
        <w:t xml:space="preserve"> * für die Klassifikation als vSAA muss das Granulozytenkriterium &lt; 0.2 G/L obligat erfüllt sein.</w:t>
      </w:r>
    </w:p>
    <w:p>
      <w:pPr>
        <w:pStyle w:val="Standard"/>
        <w:rPr/>
      </w:pPr>
      <w:bookmarkStart w:id="10031" w:name="ID0E6F"/>
      <w:bookmarkEnd w:id="10031"/>
      <w:r>
        <w:rPr/>
        <w:t xml:space="preserve">Diese Unterscheidung hat prognostische Bedeutung und beeinflusst das therapeutische Vorgehen (siehe Kapitel Kapitel </w:t>
      </w:r>
      <w:hyperlink w:anchor="ID0EXJAC" w:history="1">
        <w:r>
          <w:rPr>
            <w:rStyle w:val="Hyperlink"/>
          </w:rPr>
          <w:t xml:space="preserve">5</w:t>
        </w:r>
      </w:hyperlink>
      <w:r>
        <w:rPr/>
        <w:t xml:space="preserve">).</w:t>
      </w:r>
    </w:p>
    <w:p>
      <w:pPr>
        <w:pStyle w:val="Listeneinfhrung"/>
        <w:rPr/>
      </w:pPr>
      <w:bookmarkStart w:id="10033" w:name="ID0EJG"/>
      <w:bookmarkEnd w:id="10033"/>
      <w:r>
        <w:rPr/>
        <w:t xml:space="preserve">Eine weitere Einteilung berücksichtigt die vermutete Ätiologie </w:t>
      </w:r>
      <w:r>
        <w:rPr>
          <w:rStyle w:val="Literaturverweis"/>
        </w:rPr>
        <w:t xml:space="preserve">[</w:t>
      </w:r>
      <w:hyperlink w:anchor="litID0E1FAG" w:history="1">
        <w:r>
          <w:rPr>
            <w:rStyle w:val="Literaturverweis"/>
          </w:rPr>
          <w:t xml:space="preserve">2</w:t>
        </w:r>
      </w:hyperlink>
      <w:r>
        <w:rPr>
          <w:rStyle w:val="Literaturverweis"/>
        </w:rPr>
        <w:t xml:space="preserve">]</w:t>
      </w:r>
      <w:r>
        <w:rPr/>
        <w:t xml:space="preserve">:</w:t>
      </w:r>
    </w:p>
    <w:p>
      <w:pPr>
        <w:pStyle w:val="Liste1"/>
        <w:numPr>
          <w:ilvl w:val="0"/>
          <w:numId w:val="44"/>
        </w:numPr>
        <w:rPr/>
      </w:pPr>
      <w:bookmarkStart w:id="10035" w:name="ID0EUG"/>
      <w:bookmarkEnd w:id="10035"/>
      <w:r>
        <w:rPr/>
        <w:t xml:space="preserve">idiopathisch (&gt; 80 %)</w:t>
      </w:r>
    </w:p>
    <w:p>
      <w:pPr>
        <w:pStyle w:val="Liste1"/>
        <w:numPr>
          <w:ilvl w:val="0"/>
          <w:numId w:val="44"/>
        </w:numPr>
        <w:rPr/>
      </w:pPr>
      <w:bookmarkStart w:id="10036" w:name="ID0EYG"/>
      <w:bookmarkEnd w:id="10036"/>
      <w:r>
        <w:rPr/>
        <w:t xml:space="preserve">Auslösung durch Medikamente (&lt; 20 %)</w:t>
      </w:r>
    </w:p>
    <w:p>
      <w:pPr>
        <w:pStyle w:val="Liste1"/>
        <w:numPr>
          <w:ilvl w:val="0"/>
          <w:numId w:val="44"/>
        </w:numPr>
        <w:rPr/>
      </w:pPr>
      <w:bookmarkStart w:id="10037" w:name="ID0E3G"/>
      <w:bookmarkEnd w:id="10037"/>
      <w:r>
        <w:rPr/>
        <w:t xml:space="preserve">postinfektiös (vor allem nach Hepatitis mit bisher nicht identifiziertem Erreger (&lt; 5 %) </w:t>
      </w:r>
      <w:r>
        <w:rPr>
          <w:rStyle w:val="Literaturverweis"/>
        </w:rPr>
        <w:t xml:space="preserve">[</w:t>
      </w:r>
      <w:hyperlink w:anchor="litID0EAGAG" w:history="1">
        <w:r>
          <w:rPr>
            <w:rStyle w:val="Literaturverweis"/>
          </w:rPr>
          <w:t xml:space="preserve">3</w:t>
        </w:r>
      </w:hyperlink>
      <w:r>
        <w:rPr>
          <w:rStyle w:val="Literaturverweis"/>
        </w:rPr>
        <w:t xml:space="preserve">]</w:t>
      </w:r>
    </w:p>
    <w:p>
      <w:pPr>
        <w:pStyle w:val="Liste1"/>
        <w:numPr>
          <w:ilvl w:val="0"/>
          <w:numId w:val="44"/>
        </w:numPr>
        <w:rPr/>
      </w:pPr>
      <w:bookmarkStart w:id="10039" w:name="ID0EFH"/>
      <w:bookmarkEnd w:id="10039"/>
      <w:r>
        <w:rPr/>
        <w:t xml:space="preserve">• im Erwachsenenalter erstmanifestierende hereditäre Formen (late onset hereditary bone marrow failure syndromes), z. B. im Rahmen einer Dyskeratosis congenita oder verwandten Telomerpathien bzw. im Rahmen von homozygoten Thrombopoetinrezeptor(MPL) Mutationen (&lt; 1 %) </w:t>
      </w:r>
      <w:r>
        <w:rPr>
          <w:rStyle w:val="Literaturverweis"/>
        </w:rPr>
        <w:t xml:space="preserve">[</w:t>
      </w:r>
      <w:hyperlink w:anchor="litID0EOGAG" w:history="1">
        <w:r>
          <w:rPr>
            <w:rStyle w:val="Literaturverweis"/>
          </w:rPr>
          <w:t xml:space="preserve">4</w:t>
        </w:r>
      </w:hyperlink>
      <w:r>
        <w:rPr>
          <w:rStyle w:val="Literaturverweis"/>
        </w:rPr>
        <w:t xml:space="preserve">,</w:t>
      </w:r>
      <w:hyperlink w:anchor="litID0E1GAG" w:history="1">
        <w:r>
          <w:rPr>
            <w:rStyle w:val="Literaturverweis"/>
          </w:rPr>
          <w:t xml:space="preserve">5</w:t>
        </w:r>
      </w:hyperlink>
      <w:r>
        <w:rPr>
          <w:rStyle w:val="Literaturverweis"/>
        </w:rPr>
        <w:t xml:space="preserve">]</w:t>
      </w:r>
    </w:p>
    <w:p>
      <w:pPr>
        <w:pStyle w:val="Standard"/>
        <w:rPr/>
      </w:pPr>
      <w:bookmarkStart w:id="10042" w:name="ID0EPH"/>
      <w:bookmarkEnd w:id="10042"/>
      <w:r>
        <w:rPr/>
        <w:t xml:space="preserve">Diese Einteilung hat keine prospektiv nachgewiesene prognostische bzw. therapeutische Relevanz. Ausnahmen stellen die medikamentös-induzierten und (mit Abstrichen) die im Erwachsenenalter erstmanifestierenden hereditären Formen der aplastischen Anämie dar. Bei Verdacht auf Auslösung einer AA durch Medikamente sollten diese abgesetzt werden und lebenslang eine Reexposition vermieden werden. Medikamente, für welche die Auslösung einer AA nachgewiesen wurde oder zumindest vermutet wird, sind unter anderem antiinflammatorische Substanzen (Gold, Penicillamine, Phenylbutazone, Diclofenac, Indomethacin), Antikonvulsiva (Phenytoin, Carbamazepin), Thyreostatika (Carbimazol, Thiouracil), Antidiabetika (Tolbutamid), Malariamittel (Chloroquin), Antibiotika (Sulfonamide, Cotrimoxazol, Chloramphenicol (für eine ausführlichere Darstellung wird auf Spezialliteratur verwiesen </w:t>
      </w:r>
      <w:r>
        <w:rPr>
          <w:rStyle w:val="Literaturverweis"/>
        </w:rPr>
        <w:t xml:space="preserve">[</w:t>
      </w:r>
      <w:hyperlink w:anchor="litID0E1FAG" w:history="1">
        <w:r>
          <w:rPr>
            <w:rStyle w:val="Literaturverweis"/>
          </w:rPr>
          <w:t xml:space="preserve">2</w:t>
        </w:r>
      </w:hyperlink>
      <w:r>
        <w:rPr>
          <w:rStyle w:val="Literaturverweis"/>
        </w:rPr>
        <w:t xml:space="preserve">,</w:t>
      </w:r>
      <w:hyperlink w:anchor="litID0ERHAG" w:history="1">
        <w:r>
          <w:rPr>
            <w:rStyle w:val="Literaturverweis"/>
          </w:rPr>
          <w:t xml:space="preserve">6</w:t>
        </w:r>
      </w:hyperlink>
      <w:r>
        <w:rPr>
          <w:rStyle w:val="Literaturverweis"/>
        </w:rPr>
        <w:t xml:space="preserve">]</w:t>
      </w:r>
      <w:r>
        <w:rPr/>
        <w:t xml:space="preserve">.</w:t>
      </w:r>
    </w:p>
    <w:p>
      <w:pPr>
        <w:pStyle w:val="berschrift1"/>
        <w:rPr/>
      </w:pPr>
      <w:bookmarkStart w:id="10045" w:name="ID0E2H"/>
      <w:bookmarkEnd w:id="10045"/>
      <w:r>
        <w:rPr/>
        <w:t xml:space="preserve">Klinisches Bild</w:t>
      </w:r>
    </w:p>
    <w:p>
      <w:pPr>
        <w:pStyle w:val="Listeneinfhrung"/>
        <w:rPr/>
      </w:pPr>
      <w:bookmarkStart w:id="10046" w:name="ID0EBAAC"/>
      <w:bookmarkEnd w:id="10046"/>
      <w:r>
        <w:rPr/>
        <w:t xml:space="preserve">Symptome der aplastischen Anämie ergeben sich aus der Bi-/Trizytopenie </w:t>
      </w:r>
      <w:r>
        <w:rPr>
          <w:rStyle w:val="Literaturverweis"/>
        </w:rPr>
        <w:t xml:space="preserve">[</w:t>
      </w:r>
      <w:hyperlink w:anchor="litID0ERFAG" w:history="1">
        <w:r>
          <w:rPr>
            <w:rStyle w:val="Literaturverweis"/>
          </w:rPr>
          <w:t xml:space="preserve">1</w:t>
        </w:r>
      </w:hyperlink>
      <w:r>
        <w:rPr>
          <w:rStyle w:val="Literaturverweis"/>
        </w:rPr>
        <w:t xml:space="preserve">]</w:t>
      </w:r>
      <w:r>
        <w:rPr/>
        <w:t xml:space="preserve">:</w:t>
      </w:r>
    </w:p>
    <w:p>
      <w:pPr>
        <w:pStyle w:val="Liste1"/>
        <w:numPr>
          <w:ilvl w:val="0"/>
          <w:numId w:val="45"/>
        </w:numPr>
        <w:rPr/>
      </w:pPr>
      <w:bookmarkStart w:id="10048" w:name="ID0EMAAC"/>
      <w:bookmarkEnd w:id="10048"/>
      <w:r>
        <w:rPr/>
        <w:t xml:space="preserve">Anämie</w:t>
      </w:r>
    </w:p>
    <w:p>
      <w:pPr>
        <w:pStyle w:val="Liste1"/>
        <w:numPr>
          <w:ilvl w:val="0"/>
          <w:numId w:val="45"/>
        </w:numPr>
        <w:rPr/>
      </w:pPr>
      <w:bookmarkStart w:id="10049" w:name="ID0EQAAC"/>
      <w:bookmarkEnd w:id="10049"/>
      <w:r>
        <w:rPr/>
        <w:t xml:space="preserve">neutropenische Infektion (Mund- und Rachenulzera, nekrotisierende Gingivitis oder Tonsillitis, Pneumonien, Phlegmone)</w:t>
      </w:r>
    </w:p>
    <w:p>
      <w:pPr>
        <w:pStyle w:val="Liste1"/>
        <w:numPr>
          <w:ilvl w:val="0"/>
          <w:numId w:val="45"/>
        </w:numPr>
        <w:rPr/>
      </w:pPr>
      <w:bookmarkStart w:id="10050" w:name="ID0EUAAC"/>
      <w:bookmarkEnd w:id="10050"/>
      <w:r>
        <w:rPr/>
        <w:t xml:space="preserve">Blutungen vom thrombozytopenischen Blutungstyp.</w:t>
      </w:r>
    </w:p>
    <w:p>
      <w:pPr>
        <w:pStyle w:val="Standard"/>
        <w:rPr/>
      </w:pPr>
      <w:bookmarkStart w:id="10051" w:name="ID0EXAAC"/>
      <w:bookmarkEnd w:id="10051"/>
      <w:r>
        <w:rPr/>
        <w:t xml:space="preserve">Wegen konstitutioneller Formen (Dyskeratosis congenita und verwandte Formen) sollte insbesondere auf Pigmentanomalien an der Haut, Leukoplakien der Mundschleimhaut, Dystrophien von Finger- und Zehennägeln, Dyskeratosen sowie klinische Zeichen der Lungenfibrose oder Leberzirrhose geachtet werden </w:t>
      </w:r>
      <w:r>
        <w:rPr>
          <w:rStyle w:val="Literaturverweis"/>
        </w:rPr>
        <w:t xml:space="preserve">[</w:t>
      </w:r>
      <w:hyperlink w:anchor="litID0E6HAG" w:history="1">
        <w:r>
          <w:rPr>
            <w:rStyle w:val="Literaturverweis"/>
          </w:rPr>
          <w:t xml:space="preserve">7</w:t>
        </w:r>
      </w:hyperlink>
      <w:r>
        <w:rPr>
          <w:rStyle w:val="Literaturverweis"/>
        </w:rPr>
        <w:t xml:space="preserve">]</w:t>
      </w:r>
      <w:r>
        <w:rPr/>
        <w:t xml:space="preserve">.</w:t>
      </w:r>
    </w:p>
    <w:p>
      <w:pPr>
        <w:pStyle w:val="Standard"/>
        <w:rPr/>
      </w:pPr>
      <w:bookmarkStart w:id="10053" w:name="ID0E6AAC"/>
      <w:bookmarkEnd w:id="10053"/>
      <w:r>
        <w:rPr/>
        <w:t xml:space="preserve">Lymphknotenvergrößerungen, Hepato- oder Splenomegalie sprechen gegen eine aplastische Anämie. In der Blutzellzählung findet sich eine Bi-, meist jedoch Trizytopenie unterschiedlicher Ausprägung.</w:t>
      </w:r>
    </w:p>
    <w:p>
      <w:pPr>
        <w:pStyle w:val="berschrift1"/>
        <w:rPr/>
      </w:pPr>
      <w:bookmarkStart w:id="10054" w:name="ID0EDBAC"/>
      <w:bookmarkEnd w:id="10054"/>
      <w:r>
        <w:rPr/>
        <w:t xml:space="preserve">Diagnose</w:t>
      </w:r>
    </w:p>
    <w:p>
      <w:pPr>
        <w:pStyle w:val="berschrift2"/>
        <w:rPr/>
      </w:pPr>
      <w:bookmarkStart w:id="10055" w:name="ID0EIBAC"/>
      <w:bookmarkEnd w:id="10055"/>
      <w:r>
        <w:rPr/>
        <w:t xml:space="preserve">Diagnosebeweis</w:t>
      </w:r>
    </w:p>
    <w:p>
      <w:pPr>
        <w:pStyle w:val="Standard"/>
        <w:rPr/>
      </w:pPr>
      <w:bookmarkStart w:id="10056" w:name="ID0ENBAC"/>
      <w:bookmarkEnd w:id="10056"/>
      <w:r>
        <w:rPr/>
        <w:t xml:space="preserve">Kriterien für die Diagnose sind in </w:t>
      </w:r>
      <w:hyperlink w:anchor="ID0EZBAC" w:history="1">
        <w:r>
          <w:rPr>
            <w:rStyle w:val="Hyperlink"/>
          </w:rPr>
          <w:t xml:space="preserve">Tabelle 2</w:t>
        </w:r>
      </w:hyperlink>
      <w:r>
        <w:rPr/>
        <w:t xml:space="preserve"> zusammengefasst.</w:t>
      </w:r>
    </w:p>
    <w:p>
      <w:pPr>
        <w:pStyle w:val="Tabellenbeschriftung"/>
        <w:rPr/>
      </w:pPr>
      <w:bookmarkStart w:id="10058" w:name="ID0EZBAC"/>
      <w:r>
        <w:rPr>
          <w:rStyle w:val="Absatz-Standardschriftart"/>
        </w:rPr>
        <w:t xml:space="preserve">Tabelle 2</w:t>
      </w:r>
      <w:bookmarkEnd w:id="10058"/>
      <w:r>
        <w:rPr>
          <w:rStyle w:val="Absatz-Standardschriftart"/>
        </w:rPr>
        <w:t xml:space="preserve">: </w:t>
      </w:r>
      <w:r>
        <w:rPr/>
        <w:t xml:space="preserve">Kriterien für die Diagnose einer Aplastischen Anämie</w:t>
      </w:r>
    </w:p>
    <w:tbl>
      <w:tblPr>
        <w:tblStyle w:val="TabelleKomplett"/>
        <w:tblW w:type="dxa" w:w="9640"/>
        <w:tblLayout w:type="fixed"/>
      </w:tblPr>
      <w:tblGrid>
        <w:gridCol w:w="1852"/>
        <w:gridCol w:w="3091"/>
        <w:gridCol w:w="4697"/>
      </w:tblGrid>
      <w:tr>
        <w:trPr>
          <w:cnfStyle w:val="100000000000" w:firstRow="1" w:lastRow="0" w:firstColumn="0" w:lastColumn="0" w:oddVBand="0" w:evenVBand="0" w:oddHBand="0" w:evenHBand="0" w:firstRowFirstColumn="0" w:firstRowLastColumn="0" w:lastRowFirstColumn="0" w:lastRowLastColumn="0"/>
          <w:tblHeader/>
        </w:trPr>
        <w:tc>
          <w:tcPr/>
          <w:p>
            <w:pPr>
              <w:pStyle w:val="Tabellenkopf"/>
              <w:rPr/>
            </w:pPr>
            <w:bookmarkStart w:id="10059" w:name="ID0EOCAC"/>
            <w:bookmarkEnd w:id="10059"/>
            <w:r>
              <w:rPr/>
              <w:t xml:space="preserve">Parameter</w:t>
            </w:r>
          </w:p>
        </w:tc>
        <w:tc>
          <w:tcPr/>
          <w:p>
            <w:pPr>
              <w:pStyle w:val="Tabellenkopf"/>
              <w:rPr/>
            </w:pPr>
            <w:bookmarkStart w:id="10060" w:name="ID0ETCAC"/>
            <w:bookmarkEnd w:id="10060"/>
            <w:r>
              <w:rPr/>
              <w:t xml:space="preserve">Beschreibung</w:t>
            </w:r>
          </w:p>
        </w:tc>
        <w:tc>
          <w:tcPr/>
          <w:p>
            <w:pPr>
              <w:pStyle w:val="Tabellenkopf"/>
              <w:rPr/>
            </w:pPr>
            <w:bookmarkStart w:id="10061" w:name="ID0EYCAC"/>
            <w:bookmarkEnd w:id="10061"/>
            <w:r>
              <w:rPr/>
              <w:t xml:space="preserve">Anmerkungen</w:t>
            </w:r>
          </w:p>
        </w:tc>
      </w:tr>
      <w:tr>
        <w:trPr>
          <w:cnfStyle w:val="100000000000" w:firstRow="0" w:lastRow="0" w:firstColumn="0" w:lastColumn="0" w:oddVBand="0" w:evenVBand="0" w:oddHBand="0" w:evenHBand="0" w:firstRowFirstColumn="0" w:firstRowLastColumn="0" w:lastRowFirstColumn="0" w:lastRowLastColumn="0"/>
        </w:trPr>
        <w:tc>
          <w:tcPr/>
          <w:p>
            <w:pPr>
              <w:pStyle w:val="Tabellenbody"/>
              <w:rPr/>
            </w:pPr>
            <w:bookmarkStart w:id="10062" w:name="ID0E5CAC"/>
            <w:bookmarkEnd w:id="10062"/>
            <w:r>
              <w:rPr>
                <w:rStyle w:val="Absatz-Standardschriftart"/>
                <w:b/>
              </w:rPr>
              <w:t xml:space="preserve">Blutbild (Zellzählung undAusstrich)</w:t>
            </w:r>
          </w:p>
        </w:tc>
        <w:tc>
          <w:tcPr/>
          <w:p>
            <w:pPr>
              <w:pStyle w:val="Tabellenbody"/>
              <w:rPr/>
            </w:pPr>
            <w:bookmarkStart w:id="10063" w:name="ID0EEDAC"/>
            <w:bookmarkEnd w:id="10063"/>
            <w:r>
              <w:rPr/>
              <w:t xml:space="preserve">Bi-/Trizytopenie</w:t>
            </w:r>
          </w:p>
        </w:tc>
        <w:tc>
          <w:tcPr/>
          <w:p>
            <w:pPr>
              <w:pStyle w:val="Liste1"/>
              <w:numPr>
                <w:ilvl w:val="0"/>
                <w:numId w:val="46"/>
              </w:numPr>
              <w:rPr/>
            </w:pPr>
            <w:bookmarkStart w:id="10064" w:name="ID0ELDAC"/>
            <w:bookmarkEnd w:id="10064"/>
            <w:r>
              <w:rPr/>
              <w:t xml:space="preserve">• Anämie häufig normozytär/normochrom, manchmal mäßig makrozytär und mit unauffälliger Erythrozytenmorphologie</w:t>
            </w:r>
          </w:p>
          <w:p>
            <w:pPr>
              <w:pStyle w:val="Liste1"/>
              <w:numPr>
                <w:ilvl w:val="0"/>
                <w:numId w:val="46"/>
              </w:numPr>
              <w:rPr/>
            </w:pPr>
            <w:bookmarkStart w:id="10065" w:name="ID0EPDAC"/>
            <w:bookmarkEnd w:id="10065"/>
            <w:r>
              <w:rPr/>
              <w:t xml:space="preserve">Leukozytopenie durch Granulozytopenie und Monozytopenie, meist keine unreifen granulozytären Vorstufen im Blut</w:t>
            </w:r>
          </w:p>
          <w:p>
            <w:pPr>
              <w:pStyle w:val="Liste1"/>
              <w:numPr>
                <w:ilvl w:val="0"/>
                <w:numId w:val="46"/>
              </w:numPr>
              <w:rPr/>
            </w:pPr>
            <w:bookmarkStart w:id="10066" w:name="ID0ETDAC"/>
            <w:bookmarkEnd w:id="10066"/>
            <w:r>
              <w:rPr/>
              <w:t xml:space="preserve">• keine    Hinweise    auf Umsatzsteigerung im Sinne von kernhaltigen roten Vorstufen, myeloischen Vorstufen oder Riesenthrombozyten im Blutausstrich</w:t>
            </w:r>
          </w:p>
        </w:tc>
      </w:tr>
      <w:tr>
        <w:trPr>
          <w:cnfStyle w:val="100000000000" w:firstRow="0" w:lastRow="0" w:firstColumn="0" w:lastColumn="0" w:oddVBand="0" w:evenVBand="0" w:oddHBand="0" w:evenHBand="0" w:firstRowFirstColumn="0" w:firstRowLastColumn="0" w:lastRowFirstColumn="0" w:lastRowLastColumn="0"/>
        </w:trPr>
        <w:tc>
          <w:tcPr/>
          <w:p>
            <w:pPr>
              <w:pStyle w:val="Tabellenbody"/>
              <w:rPr/>
            </w:pPr>
            <w:bookmarkStart w:id="10067" w:name="ID0EZDAC"/>
            <w:bookmarkEnd w:id="10067"/>
            <w:r>
              <w:rPr>
                <w:rStyle w:val="Absatz-Standardschriftart"/>
                <w:b/>
              </w:rPr>
              <w:t xml:space="preserve">Knochenmark</w:t>
            </w:r>
          </w:p>
        </w:tc>
        <w:tc>
          <w:tcPr/>
          <w:p>
            <w:pPr>
              <w:pStyle w:val="Liste1"/>
              <w:numPr>
                <w:ilvl w:val="0"/>
                <w:numId w:val="47"/>
              </w:numPr>
              <w:rPr/>
            </w:pPr>
            <w:bookmarkStart w:id="10068" w:name="ID0EBEAC"/>
            <w:bookmarkEnd w:id="10068"/>
            <w:r>
              <w:rPr/>
              <w:t xml:space="preserve">Aplasie oder Hypoplasie</w:t>
            </w:r>
          </w:p>
          <w:p>
            <w:pPr>
              <w:pStyle w:val="Liste1"/>
              <w:numPr>
                <w:ilvl w:val="0"/>
                <w:numId w:val="47"/>
              </w:numPr>
              <w:rPr/>
            </w:pPr>
            <w:bookmarkStart w:id="10069" w:name="ID0EFEAC"/>
            <w:bookmarkEnd w:id="10069"/>
            <w:r>
              <w:rPr/>
              <w:t xml:space="preserve">Zellularität &lt; 25 %</w:t>
            </w:r>
          </w:p>
          <w:p>
            <w:pPr>
              <w:pStyle w:val="Liste1"/>
              <w:numPr>
                <w:ilvl w:val="0"/>
                <w:numId w:val="47"/>
              </w:numPr>
              <w:rPr/>
            </w:pPr>
            <w:bookmarkStart w:id="10070" w:name="ID0EJEAC"/>
            <w:bookmarkEnd w:id="10070"/>
            <w:r>
              <w:rPr/>
              <w:t xml:space="preserve">ohne Infiltration mit neoplastischen oder knochenmarksfremden Zellen</w:t>
            </w:r>
          </w:p>
          <w:p>
            <w:pPr>
              <w:pStyle w:val="Liste1"/>
              <w:numPr>
                <w:ilvl w:val="0"/>
                <w:numId w:val="47"/>
              </w:numPr>
              <w:rPr/>
            </w:pPr>
            <w:bookmarkStart w:id="10071" w:name="ID0ENEAC"/>
            <w:bookmarkEnd w:id="10071"/>
            <w:r>
              <w:rPr/>
              <w:t xml:space="preserve">ohne Fibrose</w:t>
            </w:r>
          </w:p>
        </w:tc>
        <w:tc>
          <w:tcPr/>
          <w:p>
            <w:pPr>
              <w:pStyle w:val="Liste1"/>
              <w:numPr>
                <w:ilvl w:val="0"/>
                <w:numId w:val="48"/>
              </w:numPr>
              <w:rPr/>
            </w:pPr>
            <w:bookmarkStart w:id="10072" w:name="ID0EUEAC"/>
            <w:bookmarkEnd w:id="10072"/>
            <w:r>
              <w:rPr/>
              <w:t xml:space="preserve">Knochenmarkaspirat und Knochenmarkbiopsie obligat</w:t>
            </w:r>
          </w:p>
          <w:p>
            <w:pPr>
              <w:pStyle w:val="Liste1"/>
              <w:numPr>
                <w:ilvl w:val="0"/>
                <w:numId w:val="48"/>
              </w:numPr>
              <w:rPr/>
            </w:pPr>
            <w:bookmarkStart w:id="10073" w:name="ID0EYEAC"/>
            <w:bookmarkEnd w:id="10073"/>
            <w:r>
              <w:rPr/>
              <w:t xml:space="preserve">Biopsielänge mindestens 15 mm</w:t>
            </w:r>
          </w:p>
          <w:p>
            <w:pPr>
              <w:pStyle w:val="Liste1"/>
              <w:numPr>
                <w:ilvl w:val="0"/>
                <w:numId w:val="48"/>
              </w:numPr>
              <w:rPr/>
            </w:pPr>
            <w:bookmarkStart w:id="10074" w:name="ID0E3EAC"/>
            <w:bookmarkEnd w:id="10074"/>
            <w:r>
              <w:rPr/>
              <w:t xml:space="preserve">nicht selten fleckförmige Verminderung der Markzelldichte, „fleckförmige Panmyelopathie“</w:t>
            </w:r>
          </w:p>
        </w:tc>
      </w:tr>
    </w:tbl>
    <w:p>
      <w:pPr>
        <w:pStyle w:val="berschrift2"/>
        <w:rPr/>
      </w:pPr>
      <w:bookmarkStart w:id="10076" w:name="ID0EBFAC"/>
      <w:bookmarkEnd w:id="10076"/>
      <w:r>
        <w:rPr/>
        <w:t xml:space="preserve">Differenzial- und Ausschlussdiagnostik</w:t>
      </w:r>
    </w:p>
    <w:p>
      <w:pPr>
        <w:pStyle w:val="Standard"/>
        <w:rPr/>
      </w:pPr>
      <w:bookmarkStart w:id="10077" w:name="ID0EGFAC"/>
      <w:bookmarkEnd w:id="10077"/>
      <w:r>
        <w:rPr/>
        <w:t xml:space="preserve">Hypoplastische akute Leukämie, (hypoplastisches) myelodysplastisches Syndrom, Haarzell-Leukämie und andere Lymphome, Knochenmarkinfiltration durch solide Tumoren, Osteomyelofibrose, Hypersplenismus, schwere megaloblastäre Anämie, Anorexia nervosa, systemischer Lupus erythematodes, paroxysmale nächtliche Hämoglobinurie, Fanconi-Anämie, Dyskeratosis congenita, Shwachman-Diamond Syndrome, isoliert aplastische Anämie ("pure red cell aplasia"); Aplasie nach Chemotherapie oder Strahlentherapie.</w:t>
      </w:r>
    </w:p>
    <w:p>
      <w:pPr>
        <w:pStyle w:val="berschrift2"/>
        <w:rPr/>
      </w:pPr>
      <w:bookmarkStart w:id="10078" w:name="ID0EKFAC"/>
      <w:bookmarkEnd w:id="10078"/>
      <w:r>
        <w:rPr/>
        <w:t xml:space="preserve">Diagnostik</w:t>
      </w:r>
    </w:p>
    <w:p>
      <w:pPr>
        <w:pStyle w:val="berschrift3"/>
        <w:rPr/>
      </w:pPr>
      <w:bookmarkStart w:id="10079" w:name="ID0EPFAC"/>
      <w:bookmarkEnd w:id="10079"/>
      <w:r>
        <w:rPr/>
        <w:t xml:space="preserve">Erstdiagnostik</w:t>
      </w:r>
    </w:p>
    <w:p>
      <w:pPr>
        <w:pStyle w:val="Standard"/>
        <w:rPr/>
      </w:pPr>
      <w:bookmarkStart w:id="10080" w:name="ID0EUFAC"/>
      <w:bookmarkEnd w:id="10080"/>
      <w:r>
        <w:rPr/>
        <w:t xml:space="preserve">Die  diagnostischen Maßnahmen bei  Erstdiagnose dienen der  Sicherung der Diagnose, Klärung der Ätiologie, des Schweregrades und der Prognose.</w:t>
      </w:r>
    </w:p>
    <w:p>
      <w:pPr>
        <w:pStyle w:val="Liste1"/>
        <w:numPr>
          <w:ilvl w:val="0"/>
          <w:numId w:val="49"/>
        </w:numPr>
        <w:rPr/>
      </w:pPr>
      <w:bookmarkStart w:id="10081" w:name="ID0EYFAC"/>
      <w:bookmarkEnd w:id="10081"/>
      <w:r>
        <w:rPr/>
        <w:t xml:space="preserve">ausführliche Medikamentenanamnese, insbesondere auch bezüglich Medikamenten, Infektionen, Exposition gegenüber toxischen Stoffen und ionisierenden Strahlen, Familienanamnese</w:t>
      </w:r>
    </w:p>
    <w:p>
      <w:pPr>
        <w:pStyle w:val="Liste1"/>
        <w:numPr>
          <w:ilvl w:val="0"/>
          <w:numId w:val="49"/>
        </w:numPr>
        <w:rPr/>
      </w:pPr>
      <w:bookmarkStart w:id="10082" w:name="ID0E3FAC"/>
      <w:bookmarkEnd w:id="10082"/>
      <w:r>
        <w:rPr/>
        <w:t xml:space="preserve">• klinische Untersuchung: besonders zu achten ist auf folgende Aspekte, welche als klinische Zeichen von Zytopenie-Komplikationen oder als Hinweise auf Differenzialdiagnosen relevant sind: Infektion, Blutungs-und Anämiezeichen, Ikterus, Splenomegalie, Hepatomegalie, Lymphadenopathie, Nageldystrophien, Leukoplakien, Pigmentanomalien, Skelettanomalien, Zahnanomalien, Kleinwüchsigkeit</w:t>
      </w:r>
    </w:p>
    <w:p>
      <w:pPr>
        <w:pStyle w:val="Liste1"/>
        <w:numPr>
          <w:ilvl w:val="0"/>
          <w:numId w:val="49"/>
        </w:numPr>
        <w:rPr/>
      </w:pPr>
      <w:bookmarkStart w:id="10083" w:name="ID0EAGAC"/>
      <w:bookmarkEnd w:id="10083"/>
      <w:r>
        <w:rPr/>
        <w:t xml:space="preserve">Zellzählung, Differentialblutbild, Retikulozyten zweimal</w:t>
      </w:r>
    </w:p>
    <w:p>
      <w:pPr>
        <w:pStyle w:val="Liste1"/>
        <w:numPr>
          <w:ilvl w:val="0"/>
          <w:numId w:val="49"/>
        </w:numPr>
        <w:rPr/>
      </w:pPr>
      <w:bookmarkStart w:id="10084" w:name="ID0EEGAC"/>
      <w:bookmarkEnd w:id="10084"/>
      <w:r>
        <w:rPr/>
        <w:t xml:space="preserve">Knochenmarkdiagnostik: Aspirationszytologie, Eisenfärbung, Knochenmarkhistologie (mindestens 15 mm Biopsielänge), Zytogenetik;</w:t>
      </w:r>
    </w:p>
    <w:p>
      <w:pPr>
        <w:pStyle w:val="Standard"/>
        <w:rPr/>
      </w:pPr>
      <w:bookmarkStart w:id="10085" w:name="ID0EHGAC"/>
      <w:bookmarkEnd w:id="10085"/>
      <w:r>
        <w:rPr/>
        <w:t xml:space="preserve">Optional: Assays für Kolonie-bildende Zellen aus dem Knochenmark</w:t>
      </w:r>
    </w:p>
    <w:p>
      <w:pPr>
        <w:pStyle w:val="Liste1"/>
        <w:numPr>
          <w:ilvl w:val="0"/>
          <w:numId w:val="50"/>
        </w:numPr>
        <w:rPr/>
      </w:pPr>
      <w:bookmarkStart w:id="10086" w:name="ID0ELGAC"/>
      <w:bookmarkEnd w:id="10086"/>
      <w:r>
        <w:rPr/>
        <w:t xml:space="preserve">Durchflusszytometrische Analyse GPI-verankerter Proteine auf Granulozyten und Erythrozyten, ggf. auch Retikulozyten und Monozyten (siehe auch Leitlinie </w:t>
      </w:r>
      <w:hyperlink r:id="rIdex_ID0EJMAC">
        <w:r>
          <w:rPr>
            <w:rStyle w:val="Hyperlink"/>
          </w:rPr>
          <w:t xml:space="preserve">Paroxysmale nächtliche Hämoglobinurie</w:t>
        </w:r>
      </w:hyperlink>
      <w:r>
        <w:rPr/>
        <w:t xml:space="preserve">)</w:t>
      </w:r>
    </w:p>
    <w:p>
      <w:pPr>
        <w:pStyle w:val="Liste1"/>
        <w:numPr>
          <w:ilvl w:val="0"/>
          <w:numId w:val="50"/>
        </w:numPr>
        <w:rPr/>
      </w:pPr>
      <w:bookmarkStart w:id="10088" w:name="ID0EXGAC"/>
      <w:bookmarkEnd w:id="10088"/>
      <w:r>
        <w:rPr/>
        <w:t xml:space="preserve">Hämolyse-Parameter: LDH, Haptoglobin, Bilirubin, ev. Hämosiderin im Urin</w:t>
      </w:r>
    </w:p>
    <w:p>
      <w:pPr>
        <w:pStyle w:val="Liste1"/>
        <w:numPr>
          <w:ilvl w:val="0"/>
          <w:numId w:val="50"/>
        </w:numPr>
        <w:rPr/>
      </w:pPr>
      <w:bookmarkStart w:id="10089" w:name="ID0E2GAC"/>
      <w:bookmarkEnd w:id="10089"/>
      <w:r>
        <w:rPr/>
        <w:t xml:space="preserve">Telomerlängenuntersuchung (z.B. mittels Flow-FISH-Technik; bei Verkürzung der   Telomerlänge  unter   die   10.Perzentile  einer   altersentsprechenden Kontrollgruppe  Mutationsanalyse  von  hTERT,  hTERC,  TIN2,  ggf.  weitere Komponenten des Telomerasekomplexes </w:t>
      </w:r>
      <w:r>
        <w:rPr>
          <w:rStyle w:val="Literaturverweis"/>
        </w:rPr>
        <w:t xml:space="preserve">[</w:t>
      </w:r>
      <w:hyperlink w:anchor="litID0ERIAG" w:history="1">
        <w:r>
          <w:rPr>
            <w:rStyle w:val="Literaturverweis"/>
          </w:rPr>
          <w:t xml:space="preserve">8</w:t>
        </w:r>
      </w:hyperlink>
      <w:r>
        <w:rPr>
          <w:rStyle w:val="Literaturverweis"/>
        </w:rPr>
        <w:t xml:space="preserve">,</w:t>
      </w:r>
      <w:hyperlink w:anchor="litID0EDJAG" w:history="1">
        <w:r>
          <w:rPr>
            <w:rStyle w:val="Literaturverweis"/>
          </w:rPr>
          <w:t xml:space="preserve">9</w:t>
        </w:r>
      </w:hyperlink>
      <w:r>
        <w:rPr>
          <w:rStyle w:val="Literaturverweis"/>
        </w:rPr>
        <w:t xml:space="preserve">,</w:t>
      </w:r>
      <w:hyperlink w:anchor="litID0EVJAG" w:history="1">
        <w:r>
          <w:rPr>
            <w:rStyle w:val="Literaturverweis"/>
          </w:rPr>
          <w:t xml:space="preserve">10</w:t>
        </w:r>
      </w:hyperlink>
      <w:r>
        <w:rPr>
          <w:rStyle w:val="Literaturverweis"/>
        </w:rPr>
        <w:t xml:space="preserve">]</w:t>
      </w:r>
      <w:r>
        <w:rPr/>
        <w:t xml:space="preserve">)</w:t>
      </w:r>
    </w:p>
    <w:p>
      <w:pPr>
        <w:pStyle w:val="Liste1"/>
        <w:numPr>
          <w:ilvl w:val="0"/>
          <w:numId w:val="50"/>
        </w:numPr>
        <w:rPr/>
      </w:pPr>
      <w:bookmarkStart w:id="10093" w:name="ID0EJHAC"/>
      <w:bookmarkEnd w:id="10093"/>
      <w:r>
        <w:rPr/>
        <w:t xml:space="preserve">Gerinnung: Quick-Wert, PTT, Fibrinogen</w:t>
      </w:r>
    </w:p>
    <w:p>
      <w:pPr>
        <w:pStyle w:val="Liste1"/>
        <w:numPr>
          <w:ilvl w:val="0"/>
          <w:numId w:val="50"/>
        </w:numPr>
        <w:rPr/>
      </w:pPr>
      <w:bookmarkStart w:id="10094" w:name="ID0ENHAC"/>
      <w:bookmarkEnd w:id="10094"/>
      <w:r>
        <w:rPr/>
        <w:t xml:space="preserve">CRP</w:t>
      </w:r>
    </w:p>
    <w:p>
      <w:pPr>
        <w:pStyle w:val="Liste1"/>
        <w:numPr>
          <w:ilvl w:val="0"/>
          <w:numId w:val="50"/>
        </w:numPr>
        <w:rPr/>
      </w:pPr>
      <w:bookmarkStart w:id="10095" w:name="ID0ERHAC"/>
      <w:bookmarkEnd w:id="10095"/>
      <w:r>
        <w:rPr/>
        <w:t xml:space="preserve">Gesamteiweiß, Elektrophorese, Immunglobuline</w:t>
      </w:r>
    </w:p>
    <w:p>
      <w:pPr>
        <w:pStyle w:val="Liste1"/>
        <w:numPr>
          <w:ilvl w:val="0"/>
          <w:numId w:val="50"/>
        </w:numPr>
        <w:rPr/>
      </w:pPr>
      <w:bookmarkStart w:id="10096" w:name="ID0EVHAC"/>
      <w:bookmarkEnd w:id="10096"/>
      <w:r>
        <w:rPr/>
        <w:t xml:space="preserve">AST/ALT, AP, Kreatinin, Harnsäure, Blutzucker</w:t>
      </w:r>
    </w:p>
    <w:p>
      <w:pPr>
        <w:pStyle w:val="Liste1"/>
        <w:numPr>
          <w:ilvl w:val="0"/>
          <w:numId w:val="50"/>
        </w:numPr>
        <w:rPr/>
      </w:pPr>
      <w:bookmarkStart w:id="10097" w:name="ID0EZHAC"/>
      <w:bookmarkEnd w:id="10097"/>
      <w:r>
        <w:rPr/>
        <w:t xml:space="preserve">Ferritin</w:t>
      </w:r>
    </w:p>
    <w:p>
      <w:pPr>
        <w:pStyle w:val="Liste1"/>
        <w:numPr>
          <w:ilvl w:val="0"/>
          <w:numId w:val="50"/>
        </w:numPr>
        <w:rPr/>
      </w:pPr>
      <w:bookmarkStart w:id="10098" w:name="ID0E4HAC"/>
      <w:bookmarkEnd w:id="10098"/>
      <w:r>
        <w:rPr/>
        <w:t xml:space="preserve">Vitamin B12, Folsäure</w:t>
      </w:r>
    </w:p>
    <w:p>
      <w:pPr>
        <w:pStyle w:val="Liste1"/>
        <w:numPr>
          <w:ilvl w:val="0"/>
          <w:numId w:val="50"/>
        </w:numPr>
        <w:rPr/>
      </w:pPr>
      <w:bookmarkStart w:id="10099" w:name="ID0EBIAC"/>
      <w:bookmarkEnd w:id="10099"/>
      <w:r>
        <w:rPr/>
        <w:t xml:space="preserve">Antinukleäre Antikörper, anti-DNS-Antikörper</w:t>
      </w:r>
    </w:p>
    <w:p>
      <w:pPr>
        <w:pStyle w:val="Liste1"/>
        <w:numPr>
          <w:ilvl w:val="0"/>
          <w:numId w:val="50"/>
        </w:numPr>
        <w:rPr/>
      </w:pPr>
      <w:bookmarkStart w:id="10100" w:name="ID0EFIAC"/>
      <w:bookmarkEnd w:id="10100"/>
      <w:r>
        <w:rPr/>
        <w:t xml:space="preserve">Blutgruppe, direkter Antiglobulin-Test</w:t>
      </w:r>
    </w:p>
    <w:p>
      <w:pPr>
        <w:pStyle w:val="Liste1"/>
        <w:numPr>
          <w:ilvl w:val="0"/>
          <w:numId w:val="50"/>
        </w:numPr>
        <w:rPr/>
      </w:pPr>
      <w:bookmarkStart w:id="10101" w:name="ID0EJIAC"/>
      <w:bookmarkEnd w:id="10101"/>
      <w:r>
        <w:rPr/>
        <w:t xml:space="preserve">Röntgenbild des Thorax, Sonographie Abdomen</w:t>
      </w:r>
    </w:p>
    <w:p>
      <w:pPr>
        <w:pStyle w:val="Liste1"/>
        <w:numPr>
          <w:ilvl w:val="0"/>
          <w:numId w:val="50"/>
        </w:numPr>
        <w:rPr/>
      </w:pPr>
      <w:bookmarkStart w:id="10102" w:name="ID0ENIAC"/>
      <w:bookmarkEnd w:id="10102"/>
      <w:r>
        <w:rPr/>
        <w:t xml:space="preserve">EBV, CMV, Hepatitis A, Hepatitis B, Hepatitis C, HIV, Parvovirus B19</w:t>
      </w:r>
    </w:p>
    <w:p>
      <w:pPr>
        <w:pStyle w:val="berschrift3"/>
        <w:rPr/>
      </w:pPr>
      <w:bookmarkStart w:id="10103" w:name="ID0ETIAC"/>
      <w:bookmarkEnd w:id="10103"/>
      <w:r>
        <w:rPr/>
        <w:t xml:space="preserve">Nur bei spezieller Indikation</w:t>
      </w:r>
    </w:p>
    <w:p>
      <w:pPr>
        <w:pStyle w:val="Liste1"/>
        <w:numPr>
          <w:ilvl w:val="0"/>
          <w:numId w:val="51"/>
        </w:numPr>
        <w:rPr/>
      </w:pPr>
      <w:bookmarkStart w:id="10104" w:name="ID0E1IAC"/>
      <w:bookmarkEnd w:id="10104"/>
      <w:r>
        <w:rPr/>
        <w:t xml:space="preserve">nur bei Stammzelltransplantationskandidaten: HLA Klasse I und II-Typisierung</w:t>
      </w:r>
    </w:p>
    <w:p>
      <w:pPr>
        <w:pStyle w:val="Liste1"/>
        <w:numPr>
          <w:ilvl w:val="0"/>
          <w:numId w:val="51"/>
        </w:numPr>
        <w:rPr/>
      </w:pPr>
      <w:bookmarkStart w:id="10105" w:name="ID0E5IAC"/>
      <w:bookmarkEnd w:id="10105"/>
      <w:r>
        <w:rPr/>
        <w:t xml:space="preserve">falls ungenügender Thrombozytenanstieg bei Thrombozytensubstitution:</w:t>
      </w:r>
    </w:p>
    <w:p>
      <w:pPr>
        <w:pStyle w:val="Listeneinfhrung"/>
        <w:rPr/>
      </w:pPr>
      <w:bookmarkStart w:id="10106" w:name="ID0EBJAC"/>
      <w:bookmarkEnd w:id="10106"/>
      <w:r>
        <w:rPr/>
        <w:t xml:space="preserve">HLA-A und HLA-B-Typisierung zur Auswahl HLA-passender Thrombozytenspender</w:t>
      </w:r>
    </w:p>
    <w:p>
      <w:pPr>
        <w:pStyle w:val="Liste1"/>
        <w:numPr>
          <w:ilvl w:val="0"/>
          <w:numId w:val="52"/>
        </w:numPr>
        <w:rPr/>
      </w:pPr>
      <w:bookmarkStart w:id="10107" w:name="ID0EGJAC"/>
      <w:bookmarkEnd w:id="10107"/>
      <w:r>
        <w:rPr/>
        <w:t xml:space="preserve">zum  Ausschluss  der  Fanconi-Anämie: Chromosomenbrüchigkeit-Test oder Zellzyklusanalyse; ggf. Mutationsanalyse der Fanconi-Anämie-Gene.</w:t>
      </w:r>
    </w:p>
    <w:p>
      <w:pPr>
        <w:pStyle w:val="Liste1"/>
        <w:numPr>
          <w:ilvl w:val="0"/>
          <w:numId w:val="52"/>
        </w:numPr>
        <w:rPr/>
      </w:pPr>
      <w:bookmarkStart w:id="10108" w:name="ID0EKJAC"/>
      <w:bookmarkEnd w:id="10108"/>
      <w:r>
        <w:rPr/>
        <w:t xml:space="preserve">bei klinischen Zeichen einer Dyskeratosis congenita: Telomerlängenbestimmung und Mutationsanalyse des DKC1-Gens, ggf. weiterer Gene des Telomerasekomplexes.</w:t>
      </w:r>
    </w:p>
    <w:p>
      <w:pPr>
        <w:pStyle w:val="Standard"/>
        <w:rPr/>
      </w:pPr>
      <w:bookmarkStart w:id="10109" w:name="ID0ENJAC"/>
      <w:bookmarkEnd w:id="10109"/>
      <w:r>
        <w:rPr/>
        <w:t xml:space="preserve">Neuere Studien zeigen, dass ein relevanter Teil der Patienten mit scheinbar erworbener aplastische Anämie in Wirklichkeit eine angeborene Form eines Knochenmarkversagens mit später Manifestation hat. Insbesondere bei Adoleszenten und jungen Erwachsenen ist der breitere Einsatz von Screening Tests (Chromosomenbrüchigkeit und Telomerlängenbestimmung) und gezielter molekularer Diagnostik sinnvoll </w:t>
      </w:r>
      <w:r>
        <w:rPr>
          <w:rStyle w:val="Literaturverweis"/>
        </w:rPr>
        <w:t xml:space="preserve">[</w:t>
      </w:r>
      <w:hyperlink w:anchor="litID0EIKAG" w:history="1">
        <w:r>
          <w:rPr>
            <w:rStyle w:val="Literaturverweis"/>
          </w:rPr>
          <w:t xml:space="preserve">11</w:t>
        </w:r>
      </w:hyperlink>
      <w:r>
        <w:rPr>
          <w:rStyle w:val="Literaturverweis"/>
        </w:rPr>
        <w:t xml:space="preserve">]</w:t>
      </w:r>
      <w:r>
        <w:rPr/>
        <w:t xml:space="preserve">.</w:t>
      </w:r>
    </w:p>
    <w:p>
      <w:pPr>
        <w:pStyle w:val="berschrift1"/>
        <w:rPr/>
      </w:pPr>
      <w:bookmarkStart w:id="10111" w:name="ID0EXJAC"/>
      <w:bookmarkEnd w:id="10111"/>
      <w:r>
        <w:rPr/>
        <w:t xml:space="preserve">Therapie</w:t>
      </w:r>
    </w:p>
    <w:p>
      <w:pPr>
        <w:pStyle w:val="berschrift2"/>
        <w:rPr/>
      </w:pPr>
      <w:bookmarkStart w:id="10112" w:name="ID0E3JAC"/>
      <w:bookmarkEnd w:id="10112"/>
      <w:r>
        <w:rPr/>
        <w:t xml:space="preserve">Therapieziel</w:t>
      </w:r>
    </w:p>
    <w:p>
      <w:pPr>
        <w:pStyle w:val="Standard"/>
        <w:rPr/>
      </w:pPr>
      <w:bookmarkStart w:id="10113" w:name="ID0EBKAC"/>
      <w:bookmarkEnd w:id="10113"/>
      <w:r>
        <w:rPr/>
        <w:t xml:space="preserve">Induktion einer „Remission“ und damit Verhinderung der Gefährdung durch Blutungen und durch neutropenische Infektionen sowie Vermeidung von chronischer Transfusionsbedürftigkeit (Eisenüberladung; Allosensibilisierung).</w:t>
      </w:r>
    </w:p>
    <w:p>
      <w:pPr>
        <w:pStyle w:val="Standard"/>
        <w:rPr/>
      </w:pPr>
      <w:bookmarkStart w:id="10114" w:name="ID0EDKAC"/>
      <w:bookmarkEnd w:id="10114"/>
      <w:r>
        <w:rPr/>
        <w:t xml:space="preserve">Ein Therapie-Algorithmus für die Erstlinientherapie ist in </w:t>
      </w:r>
      <w:hyperlink w:anchor="ID0EOKAC" w:history="1">
        <w:r>
          <w:rPr>
            <w:rStyle w:val="Hyperlink"/>
          </w:rPr>
          <w:t xml:space="preserve">Abbildung 1</w:t>
        </w:r>
      </w:hyperlink>
      <w:r>
        <w:rPr/>
        <w:t xml:space="preserve"> dargestellt.</w:t>
      </w:r>
    </w:p>
    <w:p>
      <w:pPr>
        <w:pStyle w:val="Grafikbeschriftung"/>
        <w:rPr/>
      </w:pPr>
      <w:bookmarkStart w:id="10116" w:name="ID0EOKAC"/>
      <w:r>
        <w:rPr>
          <w:rStyle w:val="Absatz-Standardschriftart"/>
        </w:rPr>
        <w:t xml:space="preserve">Abbildung 1</w:t>
      </w:r>
      <w:bookmarkEnd w:id="10116"/>
      <w:r>
        <w:rPr>
          <w:rStyle w:val="Absatz-Standardschriftart"/>
        </w:rPr>
        <w:t xml:space="preserve">: </w:t>
      </w:r>
      <w:r>
        <w:rPr/>
        <w:t xml:space="preserve">Algorithmus zum therapeutischen Vorgehen bei erworbener aplastischer Anämie des Erwachsenen</w:t>
      </w:r>
    </w:p>
    <w:p>
      <w:pPr>
        <w:pStyle w:val="Grafikabsatz"/>
        <w:rPr/>
      </w:pPr>
      <w:bookmarkStart w:id="10117" w:name="ID0ENKAC"/>
      <w:bookmarkEnd w:id="10117"/>
      <w:r>
        <w:pict>
          <v:shapetype id="_x0000_t202" coordsize="21600,21600" o:spt="202" path="m,l,21600r21600,l21600,xe">
            <v:stroke joinstyle="miter"/>
            <v:path gradientshapeok="t" o:connecttype="rect"/>
          </v:shapetype>
          <v:shape o:spid="_x0000_s1026" type="#_x0000_t202" fillcolor="white [3201]" stroked="f" strokeweight="0" id="Textfeld 100000002" style="position:absolute;left:0;text-align:left;margin-left:-20pt;margin-top:18.4pt;width:15.75pt;height:430.6666666666667px;z-index:251659264;visibility:visible;mso-wrap-distance-left:0pt;mso-wrap-distance-top:0;mso-wrap-distance-right:0pt;mso-wrap-distance-bottom:0;mso-position-horizontal-relative:text;mso-position-vertical-relative:text;v-text-anchor:top">
            <v:textbox style="layout-flow:vertical;mso-layout-flow-alt:bottom-to-top" inset="0,0,0,0">
              <w:txbxContent>
                <w:p>
                  <w:pPr>
                    <w:pStyle w:val="Dateiname"/>
                    <w:ind w:firstLine="0" w:left="0"/>
                  </w:pPr>
                  <w:r>
                    <w:t xml:space="preserve">AAD1.emf</w:t>
                  </w:r>
                </w:p>
              </w:txbxContent>
            </v:textbox>
          </v:shape>
        </w:pict>
      </w:r>
      <w:r>
        <w:rPr/>
        <w:drawing>
          <wp:anchor distT="0" distB="0" distL="0" distR="0" simplePos="0" relativeHeight="251659264" behindDoc="0" locked="1" layoutInCell="1" allowOverlap="1">
            <wp:simplePos x="0" y="0"/>
            <wp:positionH relativeFrom="column">
              <wp:posOffset>16510</wp:posOffset>
            </wp:positionH>
            <wp:positionV relativeFrom="paragraph">
              <wp:posOffset>217170</wp:posOffset>
            </wp:positionV>
            <wp:extent cx="6120130" cy="4102100"/>
            <wp:effectExtent l="0" t="0" r="0" b="0"/>
            <wp:wrapTopAndBottom/>
            <wp:docPr id="100000000" name="AAD1.emf"/>
            <wp:cNvGraphicFramePr>
              <a:graphicFrameLocks noChangeAspect="1"/>
            </wp:cNvGraphicFramePr>
            <a:graphic>
              <a:graphicData uri="http://schemas.openxmlformats.org/drawingml/2006/picture">
                <pic:pic xmlns:pic="http://schemas.openxmlformats.org/drawingml/2006/picture">
                  <pic:nvPicPr>
                    <pic:cNvPr id="100000001" name="AAD1.emf"/>
                    <pic:cNvPicPr/>
                  </pic:nvPicPr>
                  <pic:blipFill>
                    <a:blip r:embed="rIdID0ERKAC"/>
                    <a:stretch>
                      <a:fillRect/>
                    </a:stretch>
                  </pic:blipFill>
                  <pic:spPr>
                    <a:xfrm>
                      <a:off x="0" y="0"/>
                      <a:ext cx="6120130" cy="4102100"/>
                    </a:xfrm>
                    <a:prstGeom prst="rect">
                      <a:avLst/>
                    </a:prstGeom>
                  </pic:spPr>
                </pic:pic>
              </a:graphicData>
            </a:graphic>
          </wp:anchor>
        </w:drawing>
      </w:r>
    </w:p>
    <w:p>
      <w:pPr>
        <w:pStyle w:val="Legende"/>
        <w:rPr/>
      </w:pPr>
      <w:r>
        <w:rPr>
          <w:rStyle w:val="Absatz-Standardschriftart"/>
          <w:b/>
        </w:rPr>
        <w:t xml:space="preserve">Legende: </w:t>
      </w:r>
      <w:r>
        <w:rPr>
          <w:rStyle w:val="Absatz-Standardschriftart"/>
          <w:b/>
        </w:rPr>
        <w:t xml:space="preserve">   </w:t>
      </w:r>
      <w:r>
        <w:rPr>
          <w:rStyle w:val="Absatz-Standardschriftart"/>
        </w:rPr>
        <w:t xml:space="preserve"> </w:t>
      </w:r>
      <w:r>
        <w:rPr>
          <w:rStyle w:val="Absatz-Standardschriftart"/>
          <w:vertAlign w:val="superscript"/>
        </w:rPr>
        <w:t xml:space="preserve">1</w:t>
      </w:r>
      <w:r>
        <w:rPr>
          <w:rStyle w:val="Absatz-Standardschriftart"/>
        </w:rPr>
        <w:t xml:space="preserve">für Kinder wird auf Protokolle und Leitlinien der pädiatrischen Studiengruppe Aplastische Anämie verwiesen ;</w:t>
      </w:r>
    </w:p>
    <w:p>
      <w:pPr>
        <w:pStyle w:val="Legende"/>
        <w:rPr/>
      </w:pPr>
      <w:r>
        <w:rPr>
          <w:rStyle w:val="LegendenzeichenHochgestellt"/>
        </w:rPr>
        <w:t xml:space="preserve">2</w:t>
      </w:r>
      <w:r>
        <w:rPr>
          <w:rStyle w:val="Absatz-Standardschriftart"/>
        </w:rPr>
        <w:t xml:space="preserve">Therapie: ATG-Antithymozytenglobulin, CsA-Ciclosporin A; dieser Therapiealgorithmus basiert auf Studien, welche mit Pferde-ATG durchgeführt wurden, dessen Verwendung auch in der Routinetherapie außerhalb von Studien empfohlen wird; siehe Kap. 5.6.2)</w:t>
      </w:r>
    </w:p>
    <w:p>
      <w:pPr>
        <w:pStyle w:val="Legende"/>
        <w:rPr/>
      </w:pPr>
      <w:r>
        <w:rPr>
          <w:rStyle w:val="Absatz-Standardschriftart"/>
        </w:rPr>
        <w:t xml:space="preserve"> </w:t>
      </w:r>
      <w:r>
        <w:rPr>
          <w:rStyle w:val="Absatz-Standardschriftart"/>
          <w:vertAlign w:val="superscript"/>
        </w:rPr>
        <w:t xml:space="preserve">3</w:t>
      </w:r>
      <w:r>
        <w:rPr>
          <w:rStyle w:val="Absatz-Standardschriftart"/>
        </w:rPr>
        <w:t xml:space="preserve">NR – Nonresponder</w:t>
      </w:r>
    </w:p>
    <w:p>
      <w:pPr>
        <w:pStyle w:val="Legende"/>
        <w:rPr/>
      </w:pPr>
      <w:r>
        <w:rPr>
          <w:rStyle w:val="LegendenzeichenHochgestellt"/>
        </w:rPr>
        <w:t xml:space="preserve">4</w:t>
      </w:r>
      <w:r>
        <w:rPr>
          <w:rStyle w:val="Absatz-Standardschriftart"/>
        </w:rPr>
        <w:t xml:space="preserve">MUD-Matched Unrelated Donor (nicht verwandter Spender)</w:t>
      </w:r>
    </w:p>
    <w:p>
      <w:pPr>
        <w:pStyle w:val="Legende"/>
        <w:rPr/>
      </w:pPr>
      <w:r>
        <w:rPr>
          <w:rStyle w:val="LegendenzeichenHochgestellt"/>
        </w:rPr>
        <w:t xml:space="preserve">5</w:t>
      </w:r>
      <w:r>
        <w:rPr>
          <w:rStyle w:val="Absatz-Standardschriftart"/>
        </w:rPr>
        <w:t xml:space="preserve">Cy200-Cyclophosphamid 200 mg/kg, Exp. IS – experimentelles Immunsuppression-Protokoll, FluCy/ATG-Fludarabin, niedrig-dosiertes Cyclophosphamid und ATG, KMT-Knochenmarktransplantation, MTX-Methotrexat, TBI-Ganzkörperbestrahlung</w:t>
      </w:r>
    </w:p>
    <w:p>
      <w:pPr>
        <w:pStyle w:val="berschrift2"/>
        <w:rPr/>
      </w:pPr>
      <w:bookmarkStart w:id="10119" w:name="ID0E2LAC"/>
      <w:bookmarkEnd w:id="10119"/>
      <w:r>
        <w:rPr/>
        <w:t xml:space="preserve">Therapieplanung</w:t>
      </w:r>
    </w:p>
    <w:p>
      <w:pPr>
        <w:pStyle w:val="Standard"/>
        <w:rPr/>
      </w:pPr>
      <w:bookmarkStart w:id="10120" w:name="ID0EAMAC"/>
      <w:bookmarkEnd w:id="10120"/>
      <w:r>
        <w:rPr/>
        <w:t xml:space="preserve">Die Wahl der Behandlung ist abhängig von der Schwere der Erkrankung, dem Alter des Patienten sowie vom Grad der HLA-Übereinstimmung eines potentiellen verwandten oder unverwandten Knochenmarkspenders, </w:t>
      </w:r>
      <w:hyperlink w:anchor="ID0EOKAC" w:history="1">
        <w:r>
          <w:rPr>
            <w:rStyle w:val="Hyperlink"/>
          </w:rPr>
          <w:t xml:space="preserve">Abbildung 1</w:t>
        </w:r>
      </w:hyperlink>
      <w:r>
        <w:rPr/>
        <w:t xml:space="preserve">. Studien belegen, dass insbesondere für die Knochenmarktransplantation das Intervall zwischen Diagnose und Therapie einen signifikanten Einfluss auf die Prognose hat </w:t>
      </w:r>
      <w:r>
        <w:rPr>
          <w:rStyle w:val="Literaturverweis"/>
        </w:rPr>
        <w:t xml:space="preserve">[</w:t>
      </w:r>
      <w:hyperlink w:anchor="litID0EZKAG" w:history="1">
        <w:r>
          <w:rPr>
            <w:rStyle w:val="Literaturverweis"/>
          </w:rPr>
          <w:t xml:space="preserve">12</w:t>
        </w:r>
      </w:hyperlink>
      <w:r>
        <w:rPr>
          <w:rStyle w:val="Literaturverweis"/>
        </w:rPr>
        <w:t xml:space="preserve">]</w:t>
      </w:r>
      <w:r>
        <w:rPr/>
        <w:t xml:space="preserve">. Daher soll bereits bei hinreichendem Diagnoseverdacht eine Vorstellung in einem hämatologischen Zentrum mit Erfahrung in der Therapie der aplastischen Anämie erfolgen.</w:t>
      </w:r>
    </w:p>
    <w:p>
      <w:pPr>
        <w:pStyle w:val="berschrift2"/>
        <w:rPr/>
      </w:pPr>
      <w:bookmarkStart w:id="10123" w:name="ID0ERMAC"/>
      <w:bookmarkEnd w:id="10123"/>
      <w:r>
        <w:rPr/>
        <w:t xml:space="preserve">Therapieindikation</w:t>
      </w:r>
    </w:p>
    <w:p>
      <w:pPr>
        <w:pStyle w:val="Listeneinfhrung"/>
        <w:rPr/>
      </w:pPr>
      <w:bookmarkStart w:id="10124" w:name="ID0EWMAC"/>
      <w:bookmarkEnd w:id="10124"/>
      <w:r>
        <w:rPr/>
        <w:t xml:space="preserve">Eine Therapieindikation besteht, wenn eine Gefährdung durch die Erkrankung gegeben ist:</w:t>
      </w:r>
    </w:p>
    <w:p>
      <w:pPr>
        <w:pStyle w:val="Liste1"/>
        <w:numPr>
          <w:ilvl w:val="0"/>
          <w:numId w:val="53"/>
        </w:numPr>
        <w:rPr/>
      </w:pPr>
      <w:bookmarkStart w:id="10125" w:name="ID0E2MAC"/>
      <w:bookmarkEnd w:id="10125"/>
      <w:r>
        <w:rPr/>
        <w:t xml:space="preserve">immer bei schwerer aplastischer Anämie nach Definition (SAA und vSAA)</w:t>
      </w:r>
    </w:p>
    <w:p>
      <w:pPr>
        <w:pStyle w:val="Liste1"/>
        <w:numPr>
          <w:ilvl w:val="0"/>
          <w:numId w:val="53"/>
        </w:numPr>
        <w:rPr/>
      </w:pPr>
      <w:bookmarkStart w:id="10126" w:name="ID0E6MAC"/>
      <w:bookmarkEnd w:id="10126"/>
      <w:r>
        <w:rPr/>
        <w:t xml:space="preserve">nSAA mit schwerer Zytopenie mindestens einer Zellreihe, welche regelmäßigen Transfusionsbedarf bedingt oder zu einer Gefährdung durch Infekte, Blutungen führt; in anderen Situationen Einzelfallbeurteilung, insbesondere auch unter Berücksichtigung des Verlaufes</w:t>
      </w:r>
    </w:p>
    <w:p>
      <w:pPr>
        <w:pStyle w:val="Liste1"/>
        <w:numPr>
          <w:ilvl w:val="0"/>
          <w:numId w:val="53"/>
        </w:numPr>
        <w:rPr/>
      </w:pPr>
      <w:bookmarkStart w:id="10127" w:name="ID0EDNAC"/>
      <w:bookmarkEnd w:id="10127"/>
      <w:r>
        <w:rPr/>
        <w:t xml:space="preserve">Progression einer nSAA in eine SAA</w:t>
      </w:r>
    </w:p>
    <w:p>
      <w:pPr>
        <w:pStyle w:val="berschrift2"/>
        <w:rPr/>
      </w:pPr>
      <w:bookmarkStart w:id="10128" w:name="ID0EINAC"/>
      <w:bookmarkEnd w:id="10128"/>
      <w:r>
        <w:rPr/>
        <w:t xml:space="preserve">Supportive Therapie</w:t>
      </w:r>
    </w:p>
    <w:p>
      <w:pPr>
        <w:pStyle w:val="Standard"/>
        <w:rPr/>
      </w:pPr>
      <w:bookmarkStart w:id="10129" w:name="ID0ENNAC"/>
      <w:bookmarkEnd w:id="10129"/>
      <w:r>
        <w:rPr/>
        <w:t xml:space="preserve">Die Überlebenswahrscheinlichkeit nach immunsuppressiver Therapie der AA ist in den letzten 30 Jahren kontinuierlich besser geworden </w:t>
      </w:r>
      <w:r>
        <w:rPr>
          <w:rStyle w:val="Literaturverweis"/>
        </w:rPr>
        <w:t xml:space="preserve">[</w:t>
      </w:r>
      <w:hyperlink w:anchor="litID0EMLAG" w:history="1">
        <w:r>
          <w:rPr>
            <w:rStyle w:val="Literaturverweis"/>
          </w:rPr>
          <w:t xml:space="preserve">13</w:t>
        </w:r>
      </w:hyperlink>
      <w:r>
        <w:rPr>
          <w:rStyle w:val="Literaturverweis"/>
        </w:rPr>
        <w:t xml:space="preserve">]</w:t>
      </w:r>
      <w:r>
        <w:rPr/>
        <w:t xml:space="preserve">. Dies gilt aber nicht nur für Patienten, welche auf die Therapie der Grunderkrankung mit einer Rekonstitution der Hämatopoese ansprechen, sondern auch für die Patienten, welche nicht ansprechen </w:t>
      </w:r>
      <w:r>
        <w:rPr>
          <w:rStyle w:val="Literaturverweis"/>
        </w:rPr>
        <w:t xml:space="preserve">[</w:t>
      </w:r>
      <w:hyperlink w:anchor="litID0EFMAG" w:history="1">
        <w:r>
          <w:rPr>
            <w:rStyle w:val="Literaturverweis"/>
          </w:rPr>
          <w:t xml:space="preserve">14</w:t>
        </w:r>
      </w:hyperlink>
      <w:r>
        <w:rPr>
          <w:rStyle w:val="Literaturverweis"/>
        </w:rPr>
        <w:t xml:space="preserve">]</w:t>
      </w:r>
      <w:r>
        <w:rPr/>
        <w:t xml:space="preserve">. Dies zeigt die Bedeutung der supportiven Therapie für das Überleben der Patienten. Wichtige Säulen hierfür sind die Infektionsprophylaxe und -behandlung, eine restriktive Transfusionsstrategie und Therapie einer Eisenüberladung. Im Einzelnen müssen folgende Aspekte der supportiven Therapie beachtet werden.</w:t>
      </w:r>
    </w:p>
    <w:p>
      <w:pPr>
        <w:pStyle w:val="berschrift3"/>
        <w:rPr/>
      </w:pPr>
      <w:bookmarkStart w:id="10132" w:name="ID0E3NAC"/>
      <w:bookmarkEnd w:id="10132"/>
      <w:r>
        <w:rPr/>
        <w:t xml:space="preserve">Infektprophylaxe</w:t>
      </w:r>
    </w:p>
    <w:p>
      <w:pPr>
        <w:pStyle w:val="Standard"/>
        <w:rPr/>
      </w:pPr>
      <w:bookmarkStart w:id="10133" w:name="ID0EBOAC"/>
      <w:bookmarkEnd w:id="10133"/>
      <w:r>
        <w:rPr/>
        <w:t xml:space="preserve">Umkehrisolation, Luftfiltration, prophylaktische Antibiotika und Antimykotika bei allen Patienten unter Antithymozytenglobulin-Therapie (ATG) und schwerer Neutropenie </w:t>
      </w:r>
      <w:r>
        <w:rPr>
          <w:rStyle w:val="Literaturverweis"/>
        </w:rPr>
        <w:t xml:space="preserve">[</w:t>
      </w:r>
      <w:hyperlink w:anchor="litID0ERMAG" w:history="1">
        <w:r>
          <w:rPr>
            <w:rStyle w:val="Literaturverweis"/>
          </w:rPr>
          <w:t xml:space="preserve">15</w:t>
        </w:r>
      </w:hyperlink>
      <w:r>
        <w:rPr>
          <w:rStyle w:val="Literaturverweis"/>
        </w:rPr>
        <w:t xml:space="preserve">]</w:t>
      </w:r>
    </w:p>
    <w:p>
      <w:pPr>
        <w:pStyle w:val="Standard"/>
        <w:rPr/>
      </w:pPr>
      <w:bookmarkStart w:id="10135" w:name="ID0EIOAC"/>
      <w:bookmarkEnd w:id="10135"/>
      <w:r>
        <w:rPr/>
        <w:t xml:space="preserve">Als prophylaktische Antibiotika sollen bevorzugt Fluochinolone, alternativ zwei nicht resorbierbare Antibiotika eingesetzt werden </w:t>
      </w:r>
      <w:r>
        <w:rPr>
          <w:rStyle w:val="Literaturverweis"/>
        </w:rPr>
        <w:t xml:space="preserve">[</w:t>
      </w:r>
      <w:hyperlink w:anchor="litID0ERMAG" w:history="1">
        <w:r>
          <w:rPr>
            <w:rStyle w:val="Literaturverweis"/>
          </w:rPr>
          <w:t xml:space="preserve">15</w:t>
        </w:r>
      </w:hyperlink>
      <w:r>
        <w:rPr>
          <w:rStyle w:val="Literaturverweis"/>
        </w:rPr>
        <w:t xml:space="preserve">,</w:t>
      </w:r>
      <w:hyperlink w:anchor="litID0E4MAG" w:history="1">
        <w:r>
          <w:rPr>
            <w:rStyle w:val="Literaturverweis"/>
          </w:rPr>
          <w:t xml:space="preserve">16</w:t>
        </w:r>
      </w:hyperlink>
      <w:r>
        <w:rPr>
          <w:rStyle w:val="Literaturverweis"/>
        </w:rPr>
        <w:t xml:space="preserve">]</w:t>
      </w:r>
      <w:r>
        <w:rPr/>
        <w:t xml:space="preserve">.</w:t>
      </w:r>
    </w:p>
    <w:p>
      <w:pPr>
        <w:pStyle w:val="Standard"/>
        <w:rPr/>
      </w:pPr>
      <w:bookmarkStart w:id="10138" w:name="ID0ESOAC"/>
      <w:bookmarkEnd w:id="10138"/>
      <w:r>
        <w:rPr/>
        <w:t xml:space="preserve">Als antimykotische Prophylaxe sind Fluconazol, Itraconazol oder Posaconazol zu empfehlen </w:t>
      </w:r>
      <w:r>
        <w:rPr>
          <w:rStyle w:val="Literaturverweis"/>
        </w:rPr>
        <w:t xml:space="preserve">[</w:t>
      </w:r>
      <w:hyperlink w:anchor="litID0EPNAG" w:history="1">
        <w:r>
          <w:rPr>
            <w:rStyle w:val="Literaturverweis"/>
          </w:rPr>
          <w:t xml:space="preserve">17</w:t>
        </w:r>
      </w:hyperlink>
      <w:r>
        <w:rPr>
          <w:rStyle w:val="Literaturverweis"/>
        </w:rPr>
        <w:t xml:space="preserve">]</w:t>
      </w:r>
    </w:p>
    <w:p>
      <w:pPr>
        <w:pStyle w:val="Standard"/>
        <w:rPr/>
      </w:pPr>
      <w:bookmarkStart w:id="10140" w:name="ID0EZOAC"/>
      <w:bookmarkEnd w:id="10140"/>
      <w:r>
        <w:rPr/>
        <w:t xml:space="preserve">(Anmerkung: diese Empfehlungen basieren auf Untersuchung neutropenischer Patienten im Kontext maligner Erkrankungen und Chemotherapie </w:t>
      </w:r>
      <w:r>
        <w:rPr>
          <w:rStyle w:val="Literaturverweis"/>
        </w:rPr>
        <w:t xml:space="preserve">[</w:t>
      </w:r>
      <w:hyperlink w:anchor="litID0E4MAG" w:history="1">
        <w:r>
          <w:rPr>
            <w:rStyle w:val="Literaturverweis"/>
          </w:rPr>
          <w:t xml:space="preserve">16</w:t>
        </w:r>
      </w:hyperlink>
      <w:r>
        <w:rPr>
          <w:rStyle w:val="Literaturverweis"/>
        </w:rPr>
        <w:t xml:space="preserve">]</w:t>
      </w:r>
      <w:r>
        <w:rPr/>
        <w:t xml:space="preserve">,</w:t>
      </w:r>
      <w:r>
        <w:rPr>
          <w:rStyle w:val="Literaturverweis"/>
        </w:rPr>
        <w:t xml:space="preserve">[</w:t>
      </w:r>
      <w:hyperlink w:anchor="litID0EPNAG" w:history="1">
        <w:r>
          <w:rPr>
            <w:rStyle w:val="Literaturverweis"/>
          </w:rPr>
          <w:t xml:space="preserve">17</w:t>
        </w:r>
      </w:hyperlink>
      <w:r>
        <w:rPr>
          <w:rStyle w:val="Literaturverweis"/>
        </w:rPr>
        <w:t xml:space="preserve">]</w:t>
      </w:r>
      <w:r>
        <w:rPr/>
        <w:t xml:space="preserve">,</w:t>
      </w:r>
      <w:r>
        <w:rPr>
          <w:rStyle w:val="Literaturverweis"/>
        </w:rPr>
        <w:t xml:space="preserve">[</w:t>
      </w:r>
      <w:hyperlink w:anchor="litID0EDOAG" w:history="1">
        <w:r>
          <w:rPr>
            <w:rStyle w:val="Literaturverweis"/>
          </w:rPr>
          <w:t xml:space="preserve">18</w:t>
        </w:r>
      </w:hyperlink>
      <w:r>
        <w:rPr>
          <w:rStyle w:val="Literaturverweis"/>
        </w:rPr>
        <w:t xml:space="preserve">]</w:t>
      </w:r>
      <w:r>
        <w:rPr/>
        <w:t xml:space="preserve">,</w:t>
      </w:r>
      <w:r>
        <w:rPr>
          <w:rStyle w:val="Literaturverweis"/>
        </w:rPr>
        <w:t xml:space="preserve">[</w:t>
      </w:r>
      <w:hyperlink w:anchor="litID0EPOAG" w:history="1">
        <w:r>
          <w:rPr>
            <w:rStyle w:val="Literaturverweis"/>
          </w:rPr>
          <w:t xml:space="preserve">19</w:t>
        </w:r>
      </w:hyperlink>
      <w:r>
        <w:rPr>
          <w:rStyle w:val="Literaturverweis"/>
        </w:rPr>
        <w:t xml:space="preserve">]</w:t>
      </w:r>
      <w:r>
        <w:rPr/>
        <w:t xml:space="preserve">,</w:t>
      </w:r>
      <w:r>
        <w:rPr>
          <w:rStyle w:val="Literaturverweis"/>
        </w:rPr>
        <w:t xml:space="preserve">[</w:t>
      </w:r>
      <w:hyperlink w:anchor="litID0EBPAG" w:history="1">
        <w:r>
          <w:rPr>
            <w:rStyle w:val="Literaturverweis"/>
          </w:rPr>
          <w:t xml:space="preserve">20</w:t>
        </w:r>
      </w:hyperlink>
      <w:r>
        <w:rPr>
          <w:rStyle w:val="Literaturverweis"/>
        </w:rPr>
        <w:t xml:space="preserve">]</w:t>
      </w:r>
      <w:r>
        <w:rPr/>
        <w:t xml:space="preserve">,</w:t>
      </w:r>
      <w:r>
        <w:rPr>
          <w:rStyle w:val="Literaturverweis"/>
        </w:rPr>
        <w:t xml:space="preserve">[</w:t>
      </w:r>
      <w:hyperlink w:anchor="litID0ETPAG" w:history="1">
        <w:r>
          <w:rPr>
            <w:rStyle w:val="Literaturverweis"/>
          </w:rPr>
          <w:t xml:space="preserve">21</w:t>
        </w:r>
      </w:hyperlink>
      <w:r>
        <w:rPr>
          <w:rStyle w:val="Literaturverweis"/>
        </w:rPr>
        <w:t xml:space="preserve">]</w:t>
      </w:r>
      <w:r>
        <w:rPr/>
        <w:t xml:space="preserve"> und wurden auf Patienten mit AA übertragen; es gibt keine aussagekräftigen Untersuchungen zum Effekt der o.g. Maßnahmen auf Infektionsrate und infektionsbedingte Mortalität spezifisch bei AA </w:t>
      </w:r>
      <w:r>
        <w:rPr>
          <w:rStyle w:val="Literaturverweis"/>
        </w:rPr>
        <w:t xml:space="preserve">[</w:t>
      </w:r>
      <w:hyperlink w:anchor="litID0ERMAG" w:history="1">
        <w:r>
          <w:rPr>
            <w:rStyle w:val="Literaturverweis"/>
          </w:rPr>
          <w:t xml:space="preserve">15</w:t>
        </w:r>
      </w:hyperlink>
      <w:r>
        <w:rPr>
          <w:rStyle w:val="Literaturverweis"/>
        </w:rPr>
        <w:t xml:space="preserve">]</w:t>
      </w:r>
      <w:r>
        <w:rPr/>
        <w:t xml:space="preserve">.</w:t>
      </w:r>
    </w:p>
    <w:p>
      <w:pPr>
        <w:pStyle w:val="Standard"/>
        <w:rPr/>
      </w:pPr>
      <w:bookmarkStart w:id="10148" w:name="ID0EAAAE"/>
      <w:bookmarkEnd w:id="10148"/>
      <w:r>
        <w:rPr/>
        <w:t xml:space="preserve">Es besteht keine Indikation für Prophylaxe gegen Pneumocystis jirovecii oder Cytomegalieviren (Ausnahme: Alemtuzumab-Therapie; siehe unten) </w:t>
      </w:r>
      <w:r>
        <w:rPr>
          <w:rStyle w:val="Literaturverweis"/>
        </w:rPr>
        <w:t xml:space="preserve">[</w:t>
      </w:r>
      <w:hyperlink w:anchor="litID0ERMAG" w:history="1">
        <w:r>
          <w:rPr>
            <w:rStyle w:val="Literaturverweis"/>
          </w:rPr>
          <w:t xml:space="preserve">15</w:t>
        </w:r>
      </w:hyperlink>
      <w:r>
        <w:rPr>
          <w:rStyle w:val="Literaturverweis"/>
        </w:rPr>
        <w:t xml:space="preserve">]</w:t>
      </w:r>
      <w:r>
        <w:rPr/>
        <w:t xml:space="preserve">.</w:t>
      </w:r>
    </w:p>
    <w:p>
      <w:pPr>
        <w:pStyle w:val="berschrift3"/>
        <w:rPr/>
      </w:pPr>
      <w:bookmarkStart w:id="10150" w:name="ID0EKAAE"/>
      <w:bookmarkEnd w:id="10150"/>
      <w:r>
        <w:rPr/>
        <w:t xml:space="preserve">Blutungsprophylaxe</w:t>
      </w:r>
    </w:p>
    <w:p>
      <w:pPr>
        <w:pStyle w:val="Liste1"/>
        <w:numPr>
          <w:ilvl w:val="0"/>
          <w:numId w:val="54"/>
        </w:numPr>
        <w:rPr/>
      </w:pPr>
      <w:bookmarkStart w:id="10151" w:name="ID0ERAAE"/>
      <w:bookmarkEnd w:id="10151"/>
      <w:r>
        <w:rPr/>
        <w:t xml:space="preserve">Menolyse</w:t>
      </w:r>
    </w:p>
    <w:p>
      <w:pPr>
        <w:pStyle w:val="Liste1"/>
        <w:numPr>
          <w:ilvl w:val="0"/>
          <w:numId w:val="54"/>
        </w:numPr>
        <w:rPr/>
      </w:pPr>
      <w:bookmarkStart w:id="10152" w:name="ID0EVAAE"/>
      <w:bookmarkEnd w:id="10152"/>
      <w:r>
        <w:rPr/>
        <w:t xml:space="preserve">strikte Vermeidung aller Thrombozytenaggregationshemmer</w:t>
      </w:r>
    </w:p>
    <w:p>
      <w:pPr>
        <w:pStyle w:val="Liste1"/>
        <w:numPr>
          <w:ilvl w:val="0"/>
          <w:numId w:val="54"/>
        </w:numPr>
        <w:rPr/>
      </w:pPr>
      <w:bookmarkStart w:id="10153" w:name="ID0EZAAE"/>
      <w:bookmarkEnd w:id="10153"/>
      <w:r>
        <w:rPr/>
        <w:t xml:space="preserve">bei schwerer Thrombozytopenie und klinisch relevanten Blutungen eventuell Einsatz von Tranexamsäure, insbesondere bei unzureichendem Inkrement nach Thrombozytensubstitution.</w:t>
      </w:r>
    </w:p>
    <w:p>
      <w:pPr>
        <w:pStyle w:val="Liste1"/>
        <w:numPr>
          <w:ilvl w:val="0"/>
          <w:numId w:val="54"/>
        </w:numPr>
        <w:rPr/>
      </w:pPr>
      <w:bookmarkStart w:id="10154" w:name="ID0E4AAE"/>
      <w:bookmarkEnd w:id="10154"/>
      <w:r>
        <w:rPr/>
        <w:t xml:space="preserve">Bei Ciclosporin-Therapie Beachtung von Interaktionen mit anderen Medikamenten</w:t>
      </w:r>
    </w:p>
    <w:p>
      <w:pPr>
        <w:pStyle w:val="Liste1"/>
        <w:numPr>
          <w:ilvl w:val="0"/>
          <w:numId w:val="54"/>
        </w:numPr>
        <w:rPr/>
      </w:pPr>
      <w:bookmarkStart w:id="10155" w:name="ID0EBBAE"/>
      <w:bookmarkEnd w:id="10155"/>
      <w:r>
        <w:rPr/>
        <w:t xml:space="preserve">Thrombozytentransfusion (siehe Kap. 5.4.3.)</w:t>
      </w:r>
    </w:p>
    <w:p>
      <w:pPr>
        <w:pStyle w:val="berschrift3"/>
        <w:rPr/>
      </w:pPr>
      <w:bookmarkStart w:id="10156" w:name="ID0EGBAE"/>
      <w:bookmarkEnd w:id="10156"/>
      <w:r>
        <w:rPr/>
        <w:t xml:space="preserve">Transfusionen</w:t>
      </w:r>
    </w:p>
    <w:p>
      <w:pPr>
        <w:pStyle w:val="Liste1"/>
        <w:numPr>
          <w:ilvl w:val="0"/>
          <w:numId w:val="55"/>
        </w:numPr>
        <w:rPr/>
      </w:pPr>
      <w:bookmarkStart w:id="10157" w:name="ID0ENBAE"/>
      <w:bookmarkEnd w:id="10157"/>
      <w:r>
        <w:rPr/>
        <w:t xml:space="preserve">Transfusionen sind bei vielen Patienten zur Sicherung einer ausreichenden körperlichen Belastbarkeit und Lebensqualität sowie zur Vermeidung von Blutungskomplikationen erforderlich. Andererseits können häufige Erythroyzten-Transfusionen zur Alloimmunisierung gegen erythrozytäre Antigene und zu Eisenüberladung führen. Thrombozytentransfusionen können eine Immunisierung gegen HLA- und HPA-Antigene auslösen. Frühere Studien (vor Einführung der Leukozytendepletion) zeigten einen negativen Zusammenhang zwischen Anzahl der Transfusionen vor allogener Stammzelltransplantation und dem Überleben </w:t>
      </w:r>
      <w:r>
        <w:rPr>
          <w:rStyle w:val="Literaturverweis"/>
        </w:rPr>
        <w:t xml:space="preserve">[</w:t>
      </w:r>
      <w:hyperlink w:anchor="litID0E6PAG" w:history="1">
        <w:r>
          <w:rPr>
            <w:rStyle w:val="Literaturverweis"/>
          </w:rPr>
          <w:t xml:space="preserve">22</w:t>
        </w:r>
      </w:hyperlink>
      <w:r>
        <w:rPr>
          <w:rStyle w:val="Literaturverweis"/>
        </w:rPr>
        <w:t xml:space="preserve">,</w:t>
      </w:r>
      <w:hyperlink w:anchor="litID0ELQAG" w:history="1">
        <w:r>
          <w:rPr>
            <w:rStyle w:val="Literaturverweis"/>
          </w:rPr>
          <w:t xml:space="preserve">23</w:t>
        </w:r>
      </w:hyperlink>
      <w:r>
        <w:rPr>
          <w:rStyle w:val="Literaturverweis"/>
        </w:rPr>
        <w:t xml:space="preserve">,</w:t>
      </w:r>
      <w:hyperlink w:anchor="litID0EXQAG" w:history="1">
        <w:r>
          <w:rPr>
            <w:rStyle w:val="Literaturverweis"/>
          </w:rPr>
          <w:t xml:space="preserve">24</w:t>
        </w:r>
      </w:hyperlink>
      <w:r>
        <w:rPr>
          <w:rStyle w:val="Literaturverweis"/>
        </w:rPr>
        <w:t xml:space="preserve">]</w:t>
      </w:r>
      <w:r>
        <w:rPr/>
        <w:t xml:space="preserve">. Ob dieser Zusammenhang auch bei effizient leukozytendepletierten Präparaten, welche eine geringe Alloimmunisierungsrate aufweisen </w:t>
      </w:r>
      <w:r>
        <w:rPr>
          <w:rStyle w:val="Literaturverweis"/>
        </w:rPr>
        <w:t xml:space="preserve">[</w:t>
      </w:r>
      <w:hyperlink w:anchor="litID0EDRAG" w:history="1">
        <w:r>
          <w:rPr>
            <w:rStyle w:val="Literaturverweis"/>
          </w:rPr>
          <w:t xml:space="preserve">25</w:t>
        </w:r>
      </w:hyperlink>
      <w:r>
        <w:rPr>
          <w:rStyle w:val="Literaturverweis"/>
        </w:rPr>
        <w:t xml:space="preserve">]</w:t>
      </w:r>
      <w:r>
        <w:rPr/>
        <w:t xml:space="preserve">, noch gilt, ist unklar </w:t>
      </w:r>
      <w:r>
        <w:rPr>
          <w:rStyle w:val="Literaturverweis"/>
        </w:rPr>
        <w:t xml:space="preserve">[</w:t>
      </w:r>
      <w:hyperlink w:anchor="litID0EPRAG" w:history="1">
        <w:r>
          <w:rPr>
            <w:rStyle w:val="Literaturverweis"/>
          </w:rPr>
          <w:t xml:space="preserve">26</w:t>
        </w:r>
      </w:hyperlink>
      <w:r>
        <w:rPr>
          <w:rStyle w:val="Literaturverweis"/>
        </w:rPr>
        <w:t xml:space="preserve">]</w:t>
      </w:r>
      <w:r>
        <w:rPr/>
        <w:t xml:space="preserve">. Trotzdem ist eine restriktive Transfusionsstrategie zu empfehlen. Diese soll sich an der Symptomatik (Anämiesymptome, potentiell gefährliche Spontanblutungen) orientieren </w:t>
      </w:r>
      <w:r>
        <w:rPr>
          <w:rStyle w:val="Literaturverweis"/>
        </w:rPr>
        <w:t xml:space="preserve">[</w:t>
      </w:r>
      <w:hyperlink w:anchor="litID0EBSAG" w:history="1">
        <w:r>
          <w:rPr>
            <w:rStyle w:val="Literaturverweis"/>
          </w:rPr>
          <w:t xml:space="preserve">27</w:t>
        </w:r>
      </w:hyperlink>
      <w:r>
        <w:rPr>
          <w:rStyle w:val="Literaturverweis"/>
        </w:rPr>
        <w:t xml:space="preserve">]</w:t>
      </w:r>
      <w:r>
        <w:rPr/>
        <w:t xml:space="preserve">.</w:t>
      </w:r>
    </w:p>
    <w:p>
      <w:pPr>
        <w:pStyle w:val="Liste1"/>
        <w:numPr>
          <w:ilvl w:val="0"/>
          <w:numId w:val="55"/>
        </w:numPr>
        <w:rPr/>
      </w:pPr>
      <w:bookmarkStart w:id="10164" w:name="ID0EKCAE"/>
      <w:bookmarkEnd w:id="10164"/>
      <w:r>
        <w:rPr/>
        <w:t xml:space="preserve">Bei AA müssen konsequent leukozytendepletierte Blutprodukte transfundiert werden </w:t>
      </w:r>
      <w:r>
        <w:rPr>
          <w:rStyle w:val="Literaturverweis"/>
        </w:rPr>
        <w:t xml:space="preserve">[</w:t>
      </w:r>
      <w:hyperlink w:anchor="litID0EBSAG" w:history="1">
        <w:r>
          <w:rPr>
            <w:rStyle w:val="Literaturverweis"/>
          </w:rPr>
          <w:t xml:space="preserve">27</w:t>
        </w:r>
      </w:hyperlink>
      <w:r>
        <w:rPr>
          <w:rStyle w:val="Literaturverweis"/>
        </w:rPr>
        <w:t xml:space="preserve">]</w:t>
      </w:r>
      <w:r>
        <w:rPr/>
        <w:t xml:space="preserve">. In Deutschland bedarf dies jedoch keiner spezifischen Auswahl durch den transfundierenden Arzt, da seit 2001 nur noch leukozytendepletierte  zelluläre  Blutprodukte  in  Verkehr  gebracht  werden  dürfen  (&lt; 1.0x106Leukozyten/Einheit) </w:t>
      </w:r>
      <w:r>
        <w:rPr>
          <w:rStyle w:val="Literaturverweis"/>
        </w:rPr>
        <w:t xml:space="preserve">[</w:t>
      </w:r>
      <w:hyperlink w:anchor="litID0EBSAG" w:history="1">
        <w:r>
          <w:rPr>
            <w:rStyle w:val="Literaturverweis"/>
          </w:rPr>
          <w:t xml:space="preserve">27</w:t>
        </w:r>
      </w:hyperlink>
      <w:r>
        <w:rPr>
          <w:rStyle w:val="Literaturverweis"/>
        </w:rPr>
        <w:t xml:space="preserve">]</w:t>
      </w:r>
      <w:r>
        <w:rPr/>
        <w:t xml:space="preserve">.</w:t>
      </w:r>
    </w:p>
    <w:p>
      <w:pPr>
        <w:pStyle w:val="Liste1"/>
        <w:numPr>
          <w:ilvl w:val="0"/>
          <w:numId w:val="55"/>
        </w:numPr>
        <w:rPr/>
      </w:pPr>
      <w:bookmarkStart w:id="10167" w:name="ID0EZCAE"/>
      <w:bookmarkEnd w:id="10167"/>
      <w:r>
        <w:rPr/>
        <w:t xml:space="preserve">Erythrozytenkonzentrate sollten bei Zeichen hypoxischer Anämie transfundiert werden. Die Transfusionsindikation muss sich an objektiver Belastbarkeit, subjektiven Beschwerden und Komorbidität orientieren </w:t>
      </w:r>
      <w:r>
        <w:rPr>
          <w:rStyle w:val="Literaturverweis"/>
        </w:rPr>
        <w:t xml:space="preserve">[</w:t>
      </w:r>
      <w:hyperlink w:anchor="litID0EFSAG" w:history="1">
        <w:r>
          <w:rPr>
            <w:rStyle w:val="Literaturverweis"/>
          </w:rPr>
          <w:t xml:space="preserve">28</w:t>
        </w:r>
      </w:hyperlink>
      <w:r>
        <w:rPr>
          <w:rStyle w:val="Literaturverweis"/>
        </w:rPr>
        <w:t xml:space="preserve">]</w:t>
      </w:r>
      <w:r>
        <w:rPr/>
        <w:t xml:space="preserve">.</w:t>
      </w:r>
    </w:p>
    <w:p>
      <w:pPr>
        <w:pStyle w:val="Liste1"/>
        <w:numPr>
          <w:ilvl w:val="0"/>
          <w:numId w:val="55"/>
        </w:numPr>
        <w:rPr/>
      </w:pPr>
      <w:bookmarkStart w:id="10169" w:name="ID0EDDAE"/>
      <w:bookmarkEnd w:id="10169"/>
      <w:r>
        <w:rPr/>
        <w:t xml:space="preserve">• Bei stabilen ambulanten Patienten ohne begleitende Risiken, welche die Blutungsgefahr erhöhen (z.B. Fieber, Infektionen) sollten prophylaktisch Thrombozyten bei Werten unter 5.000 /µl transfundiert werden </w:t>
      </w:r>
      <w:r>
        <w:rPr>
          <w:rStyle w:val="Literaturverweis"/>
        </w:rPr>
        <w:t xml:space="preserve">[</w:t>
      </w:r>
      <w:hyperlink w:anchor="litID0EFSAG" w:history="1">
        <w:r>
          <w:rPr>
            <w:rStyle w:val="Literaturverweis"/>
          </w:rPr>
          <w:t xml:space="preserve">28</w:t>
        </w:r>
      </w:hyperlink>
      <w:r>
        <w:rPr>
          <w:rStyle w:val="Literaturverweis"/>
        </w:rPr>
        <w:t xml:space="preserve">,</w:t>
      </w:r>
      <w:hyperlink w:anchor="litID0EJSAG" w:history="1">
        <w:r>
          <w:rPr>
            <w:rStyle w:val="Literaturverweis"/>
          </w:rPr>
          <w:t xml:space="preserve">29</w:t>
        </w:r>
      </w:hyperlink>
      <w:r>
        <w:rPr>
          <w:rStyle w:val="Literaturverweis"/>
        </w:rPr>
        <w:t xml:space="preserve">]</w:t>
      </w:r>
      <w:r>
        <w:rPr/>
        <w:t xml:space="preserve">. Obligate Voraussetzungen für die Anwendung dieses niedrigen Transfusionstriggers sind regelmäßige Kontrollen (mindestens einmal pro Woche), Fehlen von Blutungszeichen, und die Möglichkeit bei Blutungszeichen rasch transfundieren zu können. Bei Patienten mit Fieber &gt;38oC, Infektionen, Blutungszeichen, oder einer Anamnese schwerer Blutungen (WHO Grad 3 oder 4) sowie bei Alloimmunisierung soll der Transfusionstrigger auf 20.000 /µl angepasst werden </w:t>
      </w:r>
      <w:r>
        <w:rPr>
          <w:rStyle w:val="Literaturverweis"/>
        </w:rPr>
        <w:t xml:space="preserve">[</w:t>
      </w:r>
      <w:hyperlink w:anchor="litID0EFSAG" w:history="1">
        <w:r>
          <w:rPr>
            <w:rStyle w:val="Literaturverweis"/>
          </w:rPr>
          <w:t xml:space="preserve">28</w:t>
        </w:r>
      </w:hyperlink>
      <w:r>
        <w:rPr>
          <w:rStyle w:val="Literaturverweis"/>
        </w:rPr>
        <w:t xml:space="preserve">]</w:t>
      </w:r>
    </w:p>
    <w:p>
      <w:pPr>
        <w:pStyle w:val="Liste1"/>
        <w:numPr>
          <w:ilvl w:val="0"/>
          <w:numId w:val="55"/>
        </w:numPr>
        <w:rPr/>
      </w:pPr>
      <w:bookmarkStart w:id="10173" w:name="ID0ETDAE"/>
      <w:bookmarkEnd w:id="10173"/>
      <w:r>
        <w:rPr/>
        <w:t xml:space="preserve">Sofortige Thrombozytentransfusion ist erforderlich bei Patienten mit Grad 3 oder Grad 4 Blutungen.</w:t>
      </w:r>
    </w:p>
    <w:p>
      <w:pPr>
        <w:pStyle w:val="Liste1"/>
        <w:numPr>
          <w:ilvl w:val="0"/>
          <w:numId w:val="55"/>
        </w:numPr>
        <w:rPr/>
      </w:pPr>
      <w:bookmarkStart w:id="10174" w:name="ID0EXDAE"/>
      <w:bookmarkEnd w:id="10174"/>
      <w:r>
        <w:rPr/>
        <w:t xml:space="preserve">Viele Patienten haben einen stabilen Thrombozyten-Grenzwert, bei dessen Unterschreiten stärkere Blutungszeichen auftreten. Dieser patientenindividuelle Grenzwert ist in das Gesamtbild einzubeziehen, insbesondere, wenn es bei einem Patienten bei einem Thrombozytenwert über 5.000 µl schon einmal zu einer schwerwiegenden Blutung Grad 3 oder Grad 4 gekommen ist </w:t>
      </w:r>
      <w:r>
        <w:rPr>
          <w:rStyle w:val="Literaturverweis"/>
        </w:rPr>
        <w:t xml:space="preserve">[</w:t>
      </w:r>
      <w:hyperlink w:anchor="litID0EWSAG" w:history="1">
        <w:r>
          <w:rPr>
            <w:rStyle w:val="Literaturverweis"/>
          </w:rPr>
          <w:t xml:space="preserve">30</w:t>
        </w:r>
      </w:hyperlink>
      <w:r>
        <w:rPr>
          <w:rStyle w:val="Literaturverweis"/>
        </w:rPr>
        <w:t xml:space="preserve">]</w:t>
      </w:r>
      <w:r>
        <w:rPr/>
        <w:t xml:space="preserve">.</w:t>
      </w:r>
    </w:p>
    <w:p>
      <w:pPr>
        <w:pStyle w:val="Liste1"/>
        <w:numPr>
          <w:ilvl w:val="0"/>
          <w:numId w:val="55"/>
        </w:numPr>
        <w:rPr/>
      </w:pPr>
      <w:bookmarkStart w:id="10176" w:name="ID0EBEAE"/>
      <w:bookmarkEnd w:id="10176"/>
      <w:r>
        <w:rPr/>
        <w:t xml:space="preserve">Während ATG-Therapie soll vor Beginn der ATG-Infusionen der Thrombozytenwert auf 50.000 /µl angehoben werden, da es unter ATG-Infusion zu einem raschen Thrombozytenabfall kommen kann.</w:t>
      </w:r>
    </w:p>
    <w:p>
      <w:pPr>
        <w:pStyle w:val="Liste1"/>
        <w:numPr>
          <w:ilvl w:val="0"/>
          <w:numId w:val="55"/>
        </w:numPr>
        <w:rPr/>
      </w:pPr>
      <w:bookmarkStart w:id="10177" w:name="ID0EFEAE"/>
      <w:bookmarkEnd w:id="10177"/>
      <w:r>
        <w:rPr/>
        <w:t xml:space="preserve">Vor invasiven Eingriffen soll eine Thrombozytentransfusion erfolgen, um die jeweils empfohlenen Grenzwerte zu erreichen </w:t>
      </w:r>
      <w:r>
        <w:rPr>
          <w:rStyle w:val="Literaturverweis"/>
        </w:rPr>
        <w:t xml:space="preserve">[</w:t>
      </w:r>
      <w:hyperlink w:anchor="litID0EFSAG" w:history="1">
        <w:r>
          <w:rPr>
            <w:rStyle w:val="Literaturverweis"/>
          </w:rPr>
          <w:t xml:space="preserve">28</w:t>
        </w:r>
      </w:hyperlink>
      <w:r>
        <w:rPr>
          <w:rStyle w:val="Literaturverweis"/>
        </w:rPr>
        <w:t xml:space="preserve">]</w:t>
      </w:r>
      <w:r>
        <w:rPr/>
        <w:t xml:space="preserve">.</w:t>
      </w:r>
    </w:p>
    <w:p>
      <w:pPr>
        <w:pStyle w:val="Liste1"/>
        <w:numPr>
          <w:ilvl w:val="0"/>
          <w:numId w:val="55"/>
        </w:numPr>
        <w:rPr/>
      </w:pPr>
      <w:bookmarkStart w:id="10179" w:name="ID0EPEAE"/>
      <w:bookmarkEnd w:id="10179"/>
      <w:r>
        <w:rPr/>
        <w:t xml:space="preserve">Die restriktive Transfusionsstrategie gilt vor allem für Patienten, bei welchen eine allogene Stammzelltransplantation geplant ist </w:t>
      </w:r>
      <w:r>
        <w:rPr>
          <w:rStyle w:val="Literaturverweis"/>
        </w:rPr>
        <w:t xml:space="preserve">[</w:t>
      </w:r>
      <w:hyperlink w:anchor="litID0E6PAG" w:history="1">
        <w:r>
          <w:rPr>
            <w:rStyle w:val="Literaturverweis"/>
          </w:rPr>
          <w:t xml:space="preserve">22</w:t>
        </w:r>
      </w:hyperlink>
      <w:r>
        <w:rPr>
          <w:rStyle w:val="Literaturverweis"/>
        </w:rPr>
        <w:t xml:space="preserve">,</w:t>
      </w:r>
      <w:hyperlink w:anchor="litID0ELQAG" w:history="1">
        <w:r>
          <w:rPr>
            <w:rStyle w:val="Literaturverweis"/>
          </w:rPr>
          <w:t xml:space="preserve">23</w:t>
        </w:r>
      </w:hyperlink>
      <w:r>
        <w:rPr>
          <w:rStyle w:val="Literaturverweis"/>
        </w:rPr>
        <w:t xml:space="preserve">,</w:t>
      </w:r>
      <w:hyperlink w:anchor="litID0EXQAG" w:history="1">
        <w:r>
          <w:rPr>
            <w:rStyle w:val="Literaturverweis"/>
          </w:rPr>
          <w:t xml:space="preserve">24</w:t>
        </w:r>
      </w:hyperlink>
      <w:r>
        <w:rPr>
          <w:rStyle w:val="Literaturverweis"/>
        </w:rPr>
        <w:t xml:space="preserve">]</w:t>
      </w:r>
      <w:r>
        <w:rPr/>
        <w:t xml:space="preserve">. Keinesfalls sollen gerichtete Transfusionen von Blutprodukten von Angehörigen erfolgen.</w:t>
      </w:r>
    </w:p>
    <w:p>
      <w:pPr>
        <w:pStyle w:val="Liste1"/>
        <w:numPr>
          <w:ilvl w:val="0"/>
          <w:numId w:val="55"/>
        </w:numPr>
        <w:rPr/>
      </w:pPr>
      <w:bookmarkStart w:id="10183" w:name="ID0E4EAE"/>
      <w:bookmarkEnd w:id="10183"/>
      <w:r>
        <w:rPr/>
        <w:t xml:space="preserve">Bei lebensbedrohlichen Infektionen und schwerer Neutropenie kann zur kurzfristigen Überbrückung der Einsatz von Granulozytenkonzentraten in Betracht kommen </w:t>
      </w:r>
      <w:r>
        <w:rPr>
          <w:rStyle w:val="Literaturverweis"/>
        </w:rPr>
        <w:t xml:space="preserve">[</w:t>
      </w:r>
      <w:hyperlink w:anchor="litID0EHTAG" w:history="1">
        <w:r>
          <w:rPr>
            <w:rStyle w:val="Literaturverweis"/>
          </w:rPr>
          <w:t xml:space="preserve">31</w:t>
        </w:r>
      </w:hyperlink>
      <w:r>
        <w:rPr>
          <w:rStyle w:val="Literaturverweis"/>
        </w:rPr>
        <w:t xml:space="preserve">]</w:t>
      </w:r>
      <w:r>
        <w:rPr/>
        <w:t xml:space="preserve">.</w:t>
      </w:r>
    </w:p>
    <w:p>
      <w:pPr>
        <w:pStyle w:val="Liste1"/>
        <w:numPr>
          <w:ilvl w:val="0"/>
          <w:numId w:val="55"/>
        </w:numPr>
        <w:rPr/>
      </w:pPr>
      <w:bookmarkStart w:id="10185" w:name="ID0EHFAE"/>
      <w:bookmarkEnd w:id="10185"/>
      <w:r>
        <w:rPr/>
        <w:t xml:space="preserve">Die Bestrahlung von Blutprodukten bei Aplastischer Anämie kann wegen zwei Indikationen erfolgen: (i) Vermeidung einer transfusions-assoziierten GvHD und (ii) Vermeidung einer Allosensibilisierung </w:t>
      </w:r>
      <w:r>
        <w:rPr>
          <w:rStyle w:val="Literaturverweis"/>
        </w:rPr>
        <w:t xml:space="preserve">[</w:t>
      </w:r>
      <w:hyperlink w:anchor="litID0E6TAG" w:history="1">
        <w:r>
          <w:rPr>
            <w:rStyle w:val="Literaturverweis"/>
          </w:rPr>
          <w:t xml:space="preserve">32</w:t>
        </w:r>
      </w:hyperlink>
      <w:r>
        <w:rPr>
          <w:rStyle w:val="Literaturverweis"/>
        </w:rPr>
        <w:t xml:space="preserve">,</w:t>
      </w:r>
      <w:hyperlink w:anchor="litID0EYUAG" w:history="1">
        <w:r>
          <w:rPr>
            <w:rStyle w:val="Literaturverweis"/>
          </w:rPr>
          <w:t xml:space="preserve">33</w:t>
        </w:r>
      </w:hyperlink>
      <w:r>
        <w:rPr>
          <w:rStyle w:val="Literaturverweis"/>
        </w:rPr>
        <w:t xml:space="preserve">]</w:t>
      </w:r>
      <w:r>
        <w:rPr/>
        <w:t xml:space="preserve">. Zur Vermeidung einer transfusionsassoziierten GvHD besteht in folgenden Situationen eine Indikation für eine Bestrahlung der Blutprodukte mit 30 Gy:</w:t>
      </w:r>
    </w:p>
    <w:p>
      <w:pPr>
        <w:pStyle w:val="Liste2"/>
        <w:rPr/>
      </w:pPr>
      <w:bookmarkStart w:id="10188" w:name="ID0EUFAE"/>
      <w:bookmarkEnd w:id="10188"/>
      <w:r>
        <w:rPr/>
        <w:t xml:space="preserve">während ATG-Therapie und bis zur Rekonstitution der Lymphozytenzahl auf mindestens 1x109/L müssen alle Blutprodukte bestrahlt sein </w:t>
      </w:r>
      <w:r>
        <w:rPr>
          <w:rStyle w:val="Literaturverweis"/>
        </w:rPr>
        <w:t xml:space="preserve">[</w:t>
      </w:r>
      <w:hyperlink w:anchor="litID0EFSAG" w:history="1">
        <w:r>
          <w:rPr>
            <w:rStyle w:val="Literaturverweis"/>
          </w:rPr>
          <w:t xml:space="preserve">28</w:t>
        </w:r>
      </w:hyperlink>
      <w:r>
        <w:rPr>
          <w:rStyle w:val="Literaturverweis"/>
        </w:rPr>
        <w:t xml:space="preserve">,</w:t>
      </w:r>
      <w:hyperlink w:anchor="litID0E6TAG" w:history="1">
        <w:r>
          <w:rPr>
            <w:rStyle w:val="Literaturverweis"/>
          </w:rPr>
          <w:t xml:space="preserve">32</w:t>
        </w:r>
      </w:hyperlink>
      <w:r>
        <w:rPr>
          <w:rStyle w:val="Literaturverweis"/>
        </w:rPr>
        <w:t xml:space="preserve">]</w:t>
      </w:r>
    </w:p>
    <w:p>
      <w:pPr>
        <w:pStyle w:val="Liste2"/>
        <w:rPr/>
      </w:pPr>
      <w:bookmarkStart w:id="10191" w:name="ID0E6FAE"/>
      <w:bookmarkEnd w:id="10191"/>
      <w:r>
        <w:rPr/>
        <w:t xml:space="preserve">bei anderen intensiv immunsuppressiven Therapien (z.B. Fludarabin) </w:t>
      </w:r>
      <w:r>
        <w:rPr>
          <w:rStyle w:val="Literaturverweis"/>
        </w:rPr>
        <w:t xml:space="preserve">[</w:t>
      </w:r>
      <w:hyperlink w:anchor="litID0EFSAG" w:history="1">
        <w:r>
          <w:rPr>
            <w:rStyle w:val="Literaturverweis"/>
          </w:rPr>
          <w:t xml:space="preserve">28</w:t>
        </w:r>
      </w:hyperlink>
      <w:r>
        <w:rPr>
          <w:rStyle w:val="Literaturverweis"/>
        </w:rPr>
        <w:t xml:space="preserve">]</w:t>
      </w:r>
    </w:p>
    <w:p>
      <w:pPr>
        <w:pStyle w:val="Liste2"/>
        <w:rPr/>
      </w:pPr>
      <w:bookmarkStart w:id="10193" w:name="ID0EIGAE"/>
      <w:bookmarkEnd w:id="10193"/>
      <w:r>
        <w:rPr/>
        <w:t xml:space="preserve">Patienten, welche eine allogene Stammzelltransplantation erhalten, spätestens ab Einleitung der Konditionierung </w:t>
      </w:r>
      <w:r>
        <w:rPr>
          <w:rStyle w:val="Literaturverweis"/>
        </w:rPr>
        <w:t xml:space="preserve">[</w:t>
      </w:r>
      <w:hyperlink w:anchor="litID0EFSAG" w:history="1">
        <w:r>
          <w:rPr>
            <w:rStyle w:val="Literaturverweis"/>
          </w:rPr>
          <w:t xml:space="preserve">28</w:t>
        </w:r>
      </w:hyperlink>
      <w:r>
        <w:rPr>
          <w:rStyle w:val="Literaturverweis"/>
        </w:rPr>
        <w:t xml:space="preserve">]</w:t>
      </w:r>
    </w:p>
    <w:p>
      <w:pPr>
        <w:pStyle w:val="Liste2"/>
        <w:rPr/>
      </w:pPr>
      <w:bookmarkStart w:id="10195" w:name="ID0ERGAE"/>
      <w:bookmarkEnd w:id="10195"/>
      <w:r>
        <w:rPr/>
        <w:t xml:space="preserve">Zur Vermeidung einer Alloimmunisierung geben einige Zentren bei allen Patienten mit der Diagnose AA unabhängig vom Behandlungskontext nur bestrahlte Blutprodukte </w:t>
      </w:r>
      <w:r>
        <w:rPr>
          <w:rStyle w:val="Literaturverweis"/>
        </w:rPr>
        <w:t xml:space="preserve">[</w:t>
      </w:r>
      <w:hyperlink w:anchor="litID0E6TAG" w:history="1">
        <w:r>
          <w:rPr>
            <w:rStyle w:val="Literaturverweis"/>
          </w:rPr>
          <w:t xml:space="preserve">32</w:t>
        </w:r>
      </w:hyperlink>
      <w:r>
        <w:rPr>
          <w:rStyle w:val="Literaturverweis"/>
        </w:rPr>
        <w:t xml:space="preserve">,</w:t>
      </w:r>
      <w:hyperlink w:anchor="litID0EYUAG" w:history="1">
        <w:r>
          <w:rPr>
            <w:rStyle w:val="Literaturverweis"/>
          </w:rPr>
          <w:t xml:space="preserve">33</w:t>
        </w:r>
      </w:hyperlink>
      <w:r>
        <w:rPr>
          <w:rStyle w:val="Literaturverweis"/>
        </w:rPr>
        <w:t xml:space="preserve">]</w:t>
      </w:r>
    </w:p>
    <w:p>
      <w:pPr>
        <w:pStyle w:val="Liste2"/>
        <w:rPr/>
      </w:pPr>
      <w:bookmarkStart w:id="10198" w:name="ID0E3GAE"/>
      <w:bookmarkEnd w:id="10198"/>
      <w:r>
        <w:rPr/>
        <w:t xml:space="preserve">HLA-ausgewählte Thrombozytapherese-Spenden </w:t>
      </w:r>
      <w:r>
        <w:rPr>
          <w:rStyle w:val="Literaturverweis"/>
        </w:rPr>
        <w:t xml:space="preserve">[</w:t>
      </w:r>
      <w:hyperlink w:anchor="litID0EJSAG" w:history="1">
        <w:r>
          <w:rPr>
            <w:rStyle w:val="Literaturverweis"/>
          </w:rPr>
          <w:t xml:space="preserve">29</w:t>
        </w:r>
      </w:hyperlink>
      <w:r>
        <w:rPr>
          <w:rStyle w:val="Literaturverweis"/>
        </w:rPr>
        <w:t xml:space="preserve">]</w:t>
      </w:r>
    </w:p>
    <w:p>
      <w:pPr>
        <w:pStyle w:val="Liste2"/>
        <w:rPr/>
      </w:pPr>
      <w:bookmarkStart w:id="10200" w:name="ID0EFHAE"/>
      <w:bookmarkEnd w:id="10200"/>
      <w:r>
        <w:rPr/>
        <w:t xml:space="preserve">Granulozytenkonzentrate </w:t>
      </w:r>
      <w:r>
        <w:rPr>
          <w:rStyle w:val="Literaturverweis"/>
        </w:rPr>
        <w:t xml:space="preserve">[</w:t>
      </w:r>
      <w:hyperlink w:anchor="litID0EJSAG" w:history="1">
        <w:r>
          <w:rPr>
            <w:rStyle w:val="Literaturverweis"/>
          </w:rPr>
          <w:t xml:space="preserve">29</w:t>
        </w:r>
      </w:hyperlink>
      <w:r>
        <w:rPr>
          <w:rStyle w:val="Literaturverweis"/>
        </w:rPr>
        <w:t xml:space="preserve">]</w:t>
      </w:r>
    </w:p>
    <w:p>
      <w:pPr>
        <w:pStyle w:val="berschrift3"/>
        <w:rPr/>
      </w:pPr>
      <w:bookmarkStart w:id="10202" w:name="ID0EPHAE"/>
      <w:bookmarkEnd w:id="10202"/>
      <w:r>
        <w:rPr/>
        <w:t xml:space="preserve">Chelattherapie</w:t>
      </w:r>
    </w:p>
    <w:p>
      <w:pPr>
        <w:pStyle w:val="Standard"/>
        <w:rPr/>
      </w:pPr>
      <w:bookmarkStart w:id="10203" w:name="ID0EUHAE"/>
      <w:bookmarkEnd w:id="10203"/>
      <w:r>
        <w:rPr/>
        <w:t xml:space="preserve">Bei AA besteht die Gefahr der transfusionsbedingten Eisenüberladung, insbesondere bei Patienten, welche nicht auf Immunsuppression ansprechen und langfristig transfundiert werden müssen. In der Regel sind in den ersten Monaten nach Diagnose noch keine Ferritin- bzw. Lebereisenwerte erreicht, welche eine sofortige Chelattherapie erfordern. Man sollte daher mindestens 4-6 Monate nach Einleitung der Immunsuppression abwarten. Bei Erreichen einer Remission kann eine Eisenüberladung mit Aderlässen behandelt werden. Bei andauernder regelmäßiger Transfusionsbedürftigkeit ist bei Serumferritin-Spiegeln über 1.000 ng/ml eine Chelattherapie zu empfehlen </w:t>
      </w:r>
      <w:r>
        <w:rPr>
          <w:rStyle w:val="Literaturverweis"/>
        </w:rPr>
        <w:t xml:space="preserve">[</w:t>
      </w:r>
      <w:hyperlink w:anchor="litID0EMLAG" w:history="1">
        <w:r>
          <w:rPr>
            <w:rStyle w:val="Literaturverweis"/>
          </w:rPr>
          <w:t xml:space="preserve">13</w:t>
        </w:r>
      </w:hyperlink>
      <w:r>
        <w:rPr>
          <w:rStyle w:val="Literaturverweis"/>
        </w:rPr>
        <w:t xml:space="preserve">]</w:t>
      </w:r>
      <w:r>
        <w:rPr/>
        <w:t xml:space="preserve">. Dies gilt insbesondere auch für Transplantationskandidaten, da eine Eisenüberladung mit höherer Transplantations-assoziierter Mortalität und schlechterem Überleben assoziiert ist </w:t>
      </w:r>
      <w:r>
        <w:rPr>
          <w:rStyle w:val="Literaturverweis"/>
        </w:rPr>
        <w:t xml:space="preserve">[</w:t>
      </w:r>
      <w:hyperlink w:anchor="litID0ELVAG" w:history="1">
        <w:r>
          <w:rPr>
            <w:rStyle w:val="Literaturverweis"/>
          </w:rPr>
          <w:t xml:space="preserve">34</w:t>
        </w:r>
      </w:hyperlink>
      <w:r>
        <w:rPr>
          <w:rStyle w:val="Literaturverweis"/>
        </w:rPr>
        <w:t xml:space="preserve">,</w:t>
      </w:r>
      <w:hyperlink w:anchor="litID0EDWAG" w:history="1">
        <w:r>
          <w:rPr>
            <w:rStyle w:val="Literaturverweis"/>
          </w:rPr>
          <w:t xml:space="preserve">35</w:t>
        </w:r>
      </w:hyperlink>
      <w:r>
        <w:rPr>
          <w:rStyle w:val="Literaturverweis"/>
        </w:rPr>
        <w:t xml:space="preserve">,</w:t>
      </w:r>
      <w:hyperlink w:anchor="litID0EVWAG" w:history="1">
        <w:r>
          <w:rPr>
            <w:rStyle w:val="Literaturverweis"/>
          </w:rPr>
          <w:t xml:space="preserve">36</w:t>
        </w:r>
      </w:hyperlink>
      <w:r>
        <w:rPr>
          <w:rStyle w:val="Literaturverweis"/>
        </w:rPr>
        <w:t xml:space="preserve">,</w:t>
      </w:r>
      <w:hyperlink w:anchor="litID0EHXAG" w:history="1">
        <w:r>
          <w:rPr>
            <w:rStyle w:val="Literaturverweis"/>
          </w:rPr>
          <w:t xml:space="preserve">37</w:t>
        </w:r>
      </w:hyperlink>
      <w:r>
        <w:rPr>
          <w:rStyle w:val="Literaturverweis"/>
        </w:rPr>
        <w:t xml:space="preserve">]</w:t>
      </w:r>
      <w:r>
        <w:rPr/>
        <w:t xml:space="preserve">. In einer Studie bei 116 AA Patienten mit Eisenüberladung, welche Deferasirox erhielten, wurden keine Medikamenten-induzierte Zytopenien beobachtet, und die Serumferritin-Spiegel fielen während einjähriger Therapie deutlich </w:t>
      </w:r>
      <w:r>
        <w:rPr>
          <w:rStyle w:val="Literaturverweis"/>
        </w:rPr>
        <w:t xml:space="preserve">[</w:t>
      </w:r>
      <w:hyperlink w:anchor="litID0ETXAG" w:history="1">
        <w:r>
          <w:rPr>
            <w:rStyle w:val="Literaturverweis"/>
          </w:rPr>
          <w:t xml:space="preserve">38</w:t>
        </w:r>
      </w:hyperlink>
      <w:r>
        <w:rPr>
          <w:rStyle w:val="Literaturverweis"/>
        </w:rPr>
        <w:t xml:space="preserve">]</w:t>
      </w:r>
      <w:r>
        <w:rPr/>
        <w:t xml:space="preserve">. Das ebenfalls oral bioverfügbare Deferiprox kann Agranulozytosen verursachen und wird bei aplastischer Anämie nicht empfohlen.</w:t>
      </w:r>
    </w:p>
    <w:p>
      <w:pPr>
        <w:pStyle w:val="berschrift2"/>
        <w:rPr/>
      </w:pPr>
      <w:bookmarkStart w:id="10210" w:name="ID0EOIAE"/>
      <w:bookmarkEnd w:id="10210"/>
      <w:r>
        <w:rPr/>
        <w:t xml:space="preserve">Allogene Stammzelltransplantation</w:t>
      </w:r>
    </w:p>
    <w:p>
      <w:pPr>
        <w:pStyle w:val="berschrift3"/>
        <w:rPr/>
      </w:pPr>
      <w:bookmarkStart w:id="10211" w:name="ID0ETIAE"/>
      <w:bookmarkEnd w:id="10211"/>
      <w:r>
        <w:rPr/>
        <w:t xml:space="preserve">Allogene  Stammzelltransplantation  von  einem  HLA-identen Geschwister</w:t>
      </w:r>
    </w:p>
    <w:p>
      <w:pPr>
        <w:pStyle w:val="Listeneinfhrung"/>
        <w:rPr/>
      </w:pPr>
      <w:bookmarkStart w:id="10212" w:name="ID0EYIAE"/>
      <w:bookmarkEnd w:id="10212"/>
      <w:r>
        <w:rPr/>
        <w:t xml:space="preserve">Eine Indikation für eine allogene Knochenmarktransplantation von einem HLA-identen Geschwisterspender besteht in folgenden Situationen:</w:t>
      </w:r>
    </w:p>
    <w:p>
      <w:pPr>
        <w:pStyle w:val="Liste1"/>
        <w:numPr>
          <w:ilvl w:val="0"/>
          <w:numId w:val="56"/>
        </w:numPr>
        <w:rPr/>
      </w:pPr>
      <w:bookmarkStart w:id="10213" w:name="ID0E4IAE"/>
      <w:bookmarkEnd w:id="10213"/>
      <w:r>
        <w:rPr/>
        <w:t xml:space="preserve">als Primärtherapie </w:t>
      </w:r>
      <w:r>
        <w:rPr>
          <w:rStyle w:val="Literaturverweis"/>
        </w:rPr>
        <w:t xml:space="preserve">[</w:t>
      </w:r>
      <w:hyperlink w:anchor="litID0EMLAG" w:history="1">
        <w:r>
          <w:rPr>
            <w:rStyle w:val="Literaturverweis"/>
          </w:rPr>
          <w:t xml:space="preserve">13</w:t>
        </w:r>
      </w:hyperlink>
      <w:r>
        <w:rPr>
          <w:rStyle w:val="Literaturverweis"/>
        </w:rPr>
        <w:t xml:space="preserve">,</w:t>
      </w:r>
      <w:hyperlink w:anchor="litID0ELYAG" w:history="1">
        <w:r>
          <w:rPr>
            <w:rStyle w:val="Literaturverweis"/>
          </w:rPr>
          <w:t xml:space="preserve">39</w:t>
        </w:r>
      </w:hyperlink>
      <w:r>
        <w:rPr>
          <w:rStyle w:val="Literaturverweis"/>
        </w:rPr>
        <w:t xml:space="preserve">,</w:t>
      </w:r>
      <w:hyperlink w:anchor="litID0E5YAG" w:history="1">
        <w:r>
          <w:rPr>
            <w:rStyle w:val="Literaturverweis"/>
          </w:rPr>
          <w:t xml:space="preserve">40</w:t>
        </w:r>
      </w:hyperlink>
      <w:r>
        <w:rPr>
          <w:rStyle w:val="Literaturverweis"/>
        </w:rPr>
        <w:t xml:space="preserve">]</w:t>
      </w:r>
      <w:r>
        <w:rPr/>
        <w:t xml:space="preserve">:</w:t>
      </w:r>
    </w:p>
    <w:p>
      <w:pPr>
        <w:pStyle w:val="Liste2"/>
        <w:rPr/>
      </w:pPr>
      <w:bookmarkStart w:id="10217" w:name="ID0EMJAE"/>
      <w:bookmarkEnd w:id="10217"/>
      <w:r>
        <w:rPr/>
        <w:t xml:space="preserve">bei schwerer oder sehr schwerer aplastischer Anämie und Alter &lt; 40 Jahren;</w:t>
      </w:r>
    </w:p>
    <w:p>
      <w:pPr>
        <w:pStyle w:val="Liste2"/>
        <w:rPr/>
      </w:pPr>
      <w:bookmarkStart w:id="10218" w:name="ID0EQJAE"/>
      <w:bookmarkEnd w:id="10218"/>
      <w:r>
        <w:rPr/>
        <w:t xml:space="preserve">bei sehr schwerer aplastischer Anämie (vSAA) eventuell auch noch bei älteren Patienten in Abhängigkeit von der klinischen Gesamtbeurteilung.</w:t>
      </w:r>
    </w:p>
    <w:p>
      <w:pPr>
        <w:pStyle w:val="Liste1"/>
        <w:numPr>
          <w:ilvl w:val="0"/>
          <w:numId w:val="56"/>
        </w:numPr>
        <w:rPr/>
      </w:pPr>
      <w:bookmarkStart w:id="10219" w:name="ID0EUJAE"/>
      <w:bookmarkEnd w:id="10219"/>
      <w:r>
        <w:rPr/>
        <w:t xml:space="preserve">als Sekundärtherapie </w:t>
      </w:r>
      <w:r>
        <w:rPr>
          <w:rStyle w:val="Literaturverweis"/>
        </w:rPr>
        <w:t xml:space="preserve">[</w:t>
      </w:r>
      <w:hyperlink w:anchor="litID0EMLAG" w:history="1">
        <w:r>
          <w:rPr>
            <w:rStyle w:val="Literaturverweis"/>
          </w:rPr>
          <w:t xml:space="preserve">13</w:t>
        </w:r>
      </w:hyperlink>
      <w:r>
        <w:rPr>
          <w:rStyle w:val="Literaturverweis"/>
        </w:rPr>
        <w:t xml:space="preserve">,</w:t>
      </w:r>
      <w:hyperlink w:anchor="litID0ELYAG" w:history="1">
        <w:r>
          <w:rPr>
            <w:rStyle w:val="Literaturverweis"/>
          </w:rPr>
          <w:t xml:space="preserve">39</w:t>
        </w:r>
      </w:hyperlink>
      <w:r>
        <w:rPr>
          <w:rStyle w:val="Literaturverweis"/>
        </w:rPr>
        <w:t xml:space="preserve">,</w:t>
      </w:r>
      <w:hyperlink w:anchor="litID0E5YAG" w:history="1">
        <w:r>
          <w:rPr>
            <w:rStyle w:val="Literaturverweis"/>
          </w:rPr>
          <w:t xml:space="preserve">40</w:t>
        </w:r>
      </w:hyperlink>
      <w:r>
        <w:rPr>
          <w:rStyle w:val="Literaturverweis"/>
        </w:rPr>
        <w:t xml:space="preserve">]</w:t>
      </w:r>
      <w:r>
        <w:rPr/>
        <w:t xml:space="preserve">: bei SAA und Alter &lt; 50 Jahren nach Versagen von mindestens einem Zyklus immunsuppressiver Kombinations-Therapie mit Pferde-ATG und Ciclosporin A (siehe unten).</w:t>
      </w:r>
    </w:p>
    <w:p>
      <w:pPr>
        <w:pStyle w:val="berschrift4"/>
        <w:rPr/>
      </w:pPr>
      <w:bookmarkStart w:id="10223" w:name="ID0EDKAE"/>
      <w:bookmarkEnd w:id="10223"/>
      <w:r>
        <w:rPr/>
        <w:t xml:space="preserve">Stammzellquelle</w:t>
      </w:r>
    </w:p>
    <w:p>
      <w:pPr>
        <w:pStyle w:val="Standard"/>
        <w:rPr/>
      </w:pPr>
      <w:bookmarkStart w:id="10224" w:name="ID0EIKAE"/>
      <w:bookmarkEnd w:id="10224"/>
      <w:r>
        <w:rPr/>
        <w:t xml:space="preserve">Als Stammzellquelle sollte bei aplastischer Anämie Knochenmark verwendet werden, da die Transplantation mit peripheren Blutstammzellen (PBSZ) mit einer signifikant höheren Inzidenz von akuter GvHD, schwerer chronischer GvHD und signifikant schlechterem Überleben assoziiert ist </w:t>
      </w:r>
      <w:r>
        <w:rPr>
          <w:rStyle w:val="Literaturverweis"/>
        </w:rPr>
        <w:t xml:space="preserve">[</w:t>
      </w:r>
      <w:hyperlink w:anchor="litID0EEZAG" w:history="1">
        <w:r>
          <w:rPr>
            <w:rStyle w:val="Literaturverweis"/>
          </w:rPr>
          <w:t xml:space="preserve">41</w:t>
        </w:r>
      </w:hyperlink>
      <w:r>
        <w:rPr>
          <w:rStyle w:val="Literaturverweis"/>
        </w:rPr>
        <w:t xml:space="preserve">,</w:t>
      </w:r>
      <w:hyperlink w:anchor="litID0E3ZAG" w:history="1">
        <w:r>
          <w:rPr>
            <w:rStyle w:val="Literaturverweis"/>
          </w:rPr>
          <w:t xml:space="preserve">42</w:t>
        </w:r>
      </w:hyperlink>
      <w:r>
        <w:rPr>
          <w:rStyle w:val="Literaturverweis"/>
        </w:rPr>
        <w:t xml:space="preserve">]</w:t>
      </w:r>
      <w:r>
        <w:rPr/>
        <w:t xml:space="preserve">.</w:t>
      </w:r>
    </w:p>
    <w:p>
      <w:pPr>
        <w:pStyle w:val="berschrift4"/>
        <w:rPr/>
      </w:pPr>
      <w:bookmarkStart w:id="10227" w:name="ID0EUKAE"/>
      <w:bookmarkEnd w:id="10227"/>
      <w:r>
        <w:rPr/>
        <w:t xml:space="preserve">Konditionierung</w:t>
      </w:r>
    </w:p>
    <w:p>
      <w:pPr>
        <w:pStyle w:val="Standard"/>
        <w:rPr/>
      </w:pPr>
      <w:bookmarkStart w:id="10228" w:name="ID0EZKAE"/>
      <w:bookmarkEnd w:id="10228"/>
      <w:r>
        <w:rPr/>
        <w:t xml:space="preserve">Bei Geschwisterspender-Transplantation bei jungen Patienten ( ≤ 30 Jahren) ist das Standardregime für die Konditionierung Cyclophosphamid (Gesamtdosis von 200 mg/kg KG verteilt auf 4 Gaben an aufeinanderfolgenden Tagen) </w:t>
      </w:r>
      <w:r>
        <w:rPr>
          <w:rStyle w:val="Literaturverweis"/>
        </w:rPr>
        <w:t xml:space="preserve">[</w:t>
      </w:r>
      <w:hyperlink w:anchor="litID0EMLAG" w:history="1">
        <w:r>
          <w:rPr>
            <w:rStyle w:val="Literaturverweis"/>
          </w:rPr>
          <w:t xml:space="preserve">13</w:t>
        </w:r>
      </w:hyperlink>
      <w:r>
        <w:rPr>
          <w:rStyle w:val="Literaturverweis"/>
        </w:rPr>
        <w:t xml:space="preserve">]</w:t>
      </w:r>
      <w:r>
        <w:rPr/>
        <w:t xml:space="preserve">,</w:t>
      </w:r>
      <w:r>
        <w:rPr>
          <w:rStyle w:val="Literaturverweis"/>
        </w:rPr>
        <w:t xml:space="preserve">[</w:t>
      </w:r>
      <w:hyperlink w:anchor="litID0ELYAG" w:history="1">
        <w:r>
          <w:rPr>
            <w:rStyle w:val="Literaturverweis"/>
          </w:rPr>
          <w:t xml:space="preserve">39</w:t>
        </w:r>
      </w:hyperlink>
      <w:r>
        <w:rPr>
          <w:rStyle w:val="Literaturverweis"/>
        </w:rPr>
        <w:t xml:space="preserve">]</w:t>
      </w:r>
      <w:r>
        <w:rPr/>
        <w:t xml:space="preserve">,</w:t>
      </w:r>
      <w:r>
        <w:rPr>
          <w:rStyle w:val="Literaturverweis"/>
        </w:rPr>
        <w:t xml:space="preserve">[</w:t>
      </w:r>
      <w:hyperlink w:anchor="litID0E5YAG" w:history="1">
        <w:r>
          <w:rPr>
            <w:rStyle w:val="Literaturverweis"/>
          </w:rPr>
          <w:t xml:space="preserve">40</w:t>
        </w:r>
      </w:hyperlink>
      <w:r>
        <w:rPr>
          <w:rStyle w:val="Literaturverweis"/>
        </w:rPr>
        <w:t xml:space="preserve">]</w:t>
      </w:r>
      <w:r>
        <w:rPr/>
        <w:t xml:space="preserve">. Ob die zusätzliche Gabe von ATG einen Vorteil bringt ist umstritten. Eine randomisierte Studie zeigte keinen signikanten Einfluss von ATG auf Abstoßung, auf die Inzidenz schwerer akuter GvHD oder das Gesamtüberleben </w:t>
      </w:r>
      <w:r>
        <w:rPr>
          <w:rStyle w:val="Literaturverweis"/>
        </w:rPr>
        <w:t xml:space="preserve">[</w:t>
      </w:r>
      <w:hyperlink w:anchor="litID0EH1AG" w:history="1">
        <w:r>
          <w:rPr>
            <w:rStyle w:val="Literaturverweis"/>
          </w:rPr>
          <w:t xml:space="preserve">43</w:t>
        </w:r>
      </w:hyperlink>
      <w:r>
        <w:rPr>
          <w:rStyle w:val="Literaturverweis"/>
        </w:rPr>
        <w:t xml:space="preserve">]</w:t>
      </w:r>
      <w:r>
        <w:rPr/>
        <w:t xml:space="preserve">. Analysen einzelner Zentren und eine retrospektive Analyse der EBMT ergaben jedoch ein signifikant besseres Überleben mit ATG in der Konditionierung </w:t>
      </w:r>
      <w:r>
        <w:rPr>
          <w:rStyle w:val="Literaturverweis"/>
        </w:rPr>
        <w:t xml:space="preserve">[</w:t>
      </w:r>
      <w:hyperlink w:anchor="litID0EMLAG" w:history="1">
        <w:r>
          <w:rPr>
            <w:rStyle w:val="Literaturverweis"/>
          </w:rPr>
          <w:t xml:space="preserve">13</w:t>
        </w:r>
      </w:hyperlink>
      <w:r>
        <w:rPr>
          <w:rStyle w:val="Literaturverweis"/>
        </w:rPr>
        <w:t xml:space="preserve">]</w:t>
      </w:r>
      <w:r>
        <w:rPr/>
        <w:t xml:space="preserve">. Eine Ganz- oder Teilkörperbestrahlung im Rahmen der Konditionierung ist für eine Geschwisterspender-Transplantation nicht indiziert.</w:t>
      </w:r>
    </w:p>
    <w:p>
      <w:pPr>
        <w:pStyle w:val="Standard"/>
        <w:rPr/>
      </w:pPr>
      <w:bookmarkStart w:id="10234" w:name="ID0EVLAE"/>
      <w:bookmarkEnd w:id="10234"/>
      <w:r>
        <w:rPr/>
        <w:t xml:space="preserve">Wesentliche prognostische Variablen für das Überleben nach Geschwisterspendertransplantationen sind Alter, Performance Status, Intervall zwischen Diagnose und Transplantation sowie Stammzellquelle </w:t>
      </w:r>
      <w:r>
        <w:rPr>
          <w:rStyle w:val="Literaturverweis"/>
        </w:rPr>
        <w:t xml:space="preserve">[</w:t>
      </w:r>
      <w:hyperlink w:anchor="litID0EZKAG" w:history="1">
        <w:r>
          <w:rPr>
            <w:rStyle w:val="Literaturverweis"/>
          </w:rPr>
          <w:t xml:space="preserve">12</w:t>
        </w:r>
      </w:hyperlink>
      <w:r>
        <w:rPr>
          <w:rStyle w:val="Literaturverweis"/>
        </w:rPr>
        <w:t xml:space="preserve">,</w:t>
      </w:r>
      <w:hyperlink w:anchor="litID0EMLAG" w:history="1">
        <w:r>
          <w:rPr>
            <w:rStyle w:val="Literaturverweis"/>
          </w:rPr>
          <w:t xml:space="preserve">13</w:t>
        </w:r>
      </w:hyperlink>
      <w:r>
        <w:rPr>
          <w:rStyle w:val="Literaturverweis"/>
        </w:rPr>
        <w:t xml:space="preserve">,</w:t>
      </w:r>
      <w:hyperlink w:anchor="litID0ELVAG" w:history="1">
        <w:r>
          <w:rPr>
            <w:rStyle w:val="Literaturverweis"/>
          </w:rPr>
          <w:t xml:space="preserve">34</w:t>
        </w:r>
      </w:hyperlink>
      <w:r>
        <w:rPr>
          <w:rStyle w:val="Literaturverweis"/>
        </w:rPr>
        <w:t xml:space="preserve">,</w:t>
      </w:r>
      <w:hyperlink w:anchor="litID0EDWAG" w:history="1">
        <w:r>
          <w:rPr>
            <w:rStyle w:val="Literaturverweis"/>
          </w:rPr>
          <w:t xml:space="preserve">35</w:t>
        </w:r>
      </w:hyperlink>
      <w:r>
        <w:rPr>
          <w:rStyle w:val="Literaturverweis"/>
        </w:rPr>
        <w:t xml:space="preserve">]</w:t>
      </w:r>
      <w:r>
        <w:rPr/>
        <w:t xml:space="preserve">. Da die Überlebenswahrscheinlichkeit mit dem Alter abnimmt, besonders deutlich bei über</w:t>
      </w:r>
    </w:p>
    <w:p>
      <w:pPr>
        <w:pStyle w:val="Standard"/>
        <w:rPr/>
      </w:pPr>
      <w:bookmarkStart w:id="10239" w:name="ID0EDMAE"/>
      <w:bookmarkEnd w:id="10239"/>
      <w:r>
        <w:rPr/>
        <w:t xml:space="preserve">30-Jährigen </w:t>
      </w:r>
      <w:r>
        <w:rPr>
          <w:rStyle w:val="Literaturverweis"/>
        </w:rPr>
        <w:t xml:space="preserve">[</w:t>
      </w:r>
      <w:hyperlink w:anchor="litID0EZKAG" w:history="1">
        <w:r>
          <w:rPr>
            <w:rStyle w:val="Literaturverweis"/>
          </w:rPr>
          <w:t xml:space="preserve">12</w:t>
        </w:r>
      </w:hyperlink>
      <w:r>
        <w:rPr>
          <w:rStyle w:val="Literaturverweis"/>
        </w:rPr>
        <w:t xml:space="preserve">,</w:t>
      </w:r>
      <w:hyperlink w:anchor="litID0EMLAG" w:history="1">
        <w:r>
          <w:rPr>
            <w:rStyle w:val="Literaturverweis"/>
          </w:rPr>
          <w:t xml:space="preserve">13</w:t>
        </w:r>
      </w:hyperlink>
      <w:r>
        <w:rPr>
          <w:rStyle w:val="Literaturverweis"/>
        </w:rPr>
        <w:t xml:space="preserve">]</w:t>
      </w:r>
      <w:r>
        <w:rPr/>
        <w:t xml:space="preserve">, wurden für diese Altersgruppe neue Konditionierungsprotokolle untersucht. Eine Kombination mit niedrig-dosiertem Cyclophosphamid, Fludarabin und ATG erbrachte bei Patienten, welche älter als 30 Jahre waren, in einer Pilotstudie gute Ergebnisse </w:t>
      </w:r>
      <w:r>
        <w:rPr>
          <w:rStyle w:val="Literaturverweis"/>
        </w:rPr>
        <w:t xml:space="preserve">[</w:t>
      </w:r>
      <w:hyperlink w:anchor="litID0E61AG" w:history="1">
        <w:r>
          <w:rPr>
            <w:rStyle w:val="Literaturverweis"/>
          </w:rPr>
          <w:t xml:space="preserve">44</w:t>
        </w:r>
      </w:hyperlink>
      <w:r>
        <w:rPr>
          <w:rStyle w:val="Literaturverweis"/>
        </w:rPr>
        <w:t xml:space="preserve">]</w:t>
      </w:r>
      <w:r>
        <w:rPr/>
        <w:t xml:space="preserve"> und wird in einer Studie der EBMT Aplastic Anemia Working Party evaluiert (www.ebmt.org). Als Alternative zu ATG kommt in dieser Kombination mit Niedrig-Dosis Cyclophosphamid und Fludarabin auch Alemtuzumab in Frage </w:t>
      </w:r>
      <w:r>
        <w:rPr>
          <w:rStyle w:val="Literaturverweis"/>
        </w:rPr>
        <w:t xml:space="preserve">[</w:t>
      </w:r>
      <w:hyperlink w:anchor="litID0EX2AG" w:history="1">
        <w:r>
          <w:rPr>
            <w:rStyle w:val="Literaturverweis"/>
          </w:rPr>
          <w:t xml:space="preserve">45</w:t>
        </w:r>
      </w:hyperlink>
      <w:r>
        <w:rPr>
          <w:rStyle w:val="Literaturverweis"/>
        </w:rPr>
        <w:t xml:space="preserve">]</w:t>
      </w:r>
      <w:r>
        <w:rPr/>
        <w:t xml:space="preserve">.</w:t>
      </w:r>
    </w:p>
    <w:p>
      <w:pPr>
        <w:pStyle w:val="berschrift4"/>
        <w:rPr/>
      </w:pPr>
      <w:bookmarkStart w:id="10244" w:name="ID0EZMAE"/>
      <w:bookmarkEnd w:id="10244"/>
      <w:r>
        <w:rPr/>
        <w:t xml:space="preserve">GvHD-Prophylaxe</w:t>
      </w:r>
    </w:p>
    <w:p>
      <w:pPr>
        <w:pStyle w:val="Standard"/>
        <w:rPr/>
      </w:pPr>
      <w:bookmarkStart w:id="10245" w:name="ID0E5MAE"/>
      <w:bookmarkEnd w:id="10245"/>
      <w:r>
        <w:rPr/>
        <w:t xml:space="preserve">Das Standardregime für die GvHD-Prophylaxe ist die Kombination von Ciclosporin und Methotrexat.</w:t>
      </w:r>
    </w:p>
    <w:p>
      <w:pPr>
        <w:pStyle w:val="Standard"/>
        <w:rPr/>
      </w:pPr>
      <w:bookmarkStart w:id="10246" w:name="ID0EANAE"/>
      <w:bookmarkEnd w:id="10246"/>
      <w:r>
        <w:rPr/>
        <w:t xml:space="preserve">Eine randomisierte Studie verglich GvHD-Prophylaxe mit Ciclosporin allein (Beginn Tag -1) mit Ciclosporin (ab Tag -1) und Methotrexat (15 mg/m2an Tag +1 und 10 mg/m2an Tag +3, +6 und +11). Die Kombinationstherapie CsA + MTX war mit einem signifikanten Überlebensvorteil assoziiert und wird als Standard für die GvHD-Prophylaxe bei Geschwisterspendertransplantation der AA gesehen </w:t>
      </w:r>
      <w:r>
        <w:rPr>
          <w:rStyle w:val="Literaturverweis"/>
        </w:rPr>
        <w:t xml:space="preserve">[</w:t>
      </w:r>
      <w:hyperlink w:anchor="litID0EJ3AG" w:history="1">
        <w:r>
          <w:rPr>
            <w:rStyle w:val="Literaturverweis"/>
          </w:rPr>
          <w:t xml:space="preserve">46</w:t>
        </w:r>
      </w:hyperlink>
      <w:r>
        <w:rPr>
          <w:rStyle w:val="Literaturverweis"/>
        </w:rPr>
        <w:t xml:space="preserve">,</w:t>
      </w:r>
      <w:hyperlink w:anchor="litID0EV3AG" w:history="1">
        <w:r>
          <w:rPr>
            <w:rStyle w:val="Literaturverweis"/>
          </w:rPr>
          <w:t xml:space="preserve">47</w:t>
        </w:r>
      </w:hyperlink>
      <w:r>
        <w:rPr>
          <w:rStyle w:val="Literaturverweis"/>
        </w:rPr>
        <w:t xml:space="preserve">]</w:t>
      </w:r>
      <w:r>
        <w:rPr/>
        <w:t xml:space="preserve">.</w:t>
      </w:r>
    </w:p>
    <w:p>
      <w:pPr>
        <w:pStyle w:val="Standard"/>
        <w:rPr/>
      </w:pPr>
      <w:bookmarkStart w:id="10249" w:name="ID0EKNAE"/>
      <w:bookmarkEnd w:id="10249"/>
      <w:r>
        <w:rPr/>
        <w:t xml:space="preserve">Nach Transplantation besteht ein erhebliches Risiko für ein spätes Transplantatversagen, insbesondere bei Patienten mit zunehmendem gemischten Chimärismus </w:t>
      </w:r>
      <w:r>
        <w:rPr>
          <w:rStyle w:val="Literaturverweis"/>
        </w:rPr>
        <w:t xml:space="preserve">[</w:t>
      </w:r>
      <w:hyperlink w:anchor="litID0E13AG" w:history="1">
        <w:r>
          <w:rPr>
            <w:rStyle w:val="Literaturverweis"/>
          </w:rPr>
          <w:t xml:space="preserve">48</w:t>
        </w:r>
      </w:hyperlink>
      <w:r>
        <w:rPr>
          <w:rStyle w:val="Literaturverweis"/>
        </w:rPr>
        <w:t xml:space="preserve">]</w:t>
      </w:r>
      <w:r>
        <w:rPr/>
        <w:t xml:space="preserve">. Kompletter Spenderchimärismus oder stabiler gemischter Chimärismus ist mit geringer Rate an chronischer GvHD und gutem Überleben assoziiert </w:t>
      </w:r>
      <w:r>
        <w:rPr>
          <w:rStyle w:val="Literaturverweis"/>
        </w:rPr>
        <w:t xml:space="preserve">[</w:t>
      </w:r>
      <w:hyperlink w:anchor="litID0EM4AG" w:history="1">
        <w:r>
          <w:rPr>
            <w:rStyle w:val="Literaturverweis"/>
          </w:rPr>
          <w:t xml:space="preserve">49</w:t>
        </w:r>
      </w:hyperlink>
      <w:r>
        <w:rPr>
          <w:rStyle w:val="Literaturverweis"/>
        </w:rPr>
        <w:t xml:space="preserve">]</w:t>
      </w:r>
      <w:r>
        <w:rPr/>
        <w:t xml:space="preserve">. Es besteht eine Assoziation zwischen zunehmenden gemischten Chimärismus und Transplantatverlust einerseits mit dem Absetzen des Ciclosporins. Deswegen wird empfohlen, Ciclosporin mindestens 9 Monate in therapeutischer Dosis zu geben und langsam (mindestens 3 Monate) unter Überwachung des Chimärismus-Status auszuschleichen </w:t>
      </w:r>
      <w:r>
        <w:rPr>
          <w:rStyle w:val="Literaturverweis"/>
        </w:rPr>
        <w:t xml:space="preserve">[</w:t>
      </w:r>
      <w:hyperlink w:anchor="litID0EEZAG" w:history="1">
        <w:r>
          <w:rPr>
            <w:rStyle w:val="Literaturverweis"/>
          </w:rPr>
          <w:t xml:space="preserve">41</w:t>
        </w:r>
      </w:hyperlink>
      <w:r>
        <w:rPr>
          <w:rStyle w:val="Literaturverweis"/>
        </w:rPr>
        <w:t xml:space="preserve">,</w:t>
      </w:r>
      <w:hyperlink w:anchor="litID0E3ZAG" w:history="1">
        <w:r>
          <w:rPr>
            <w:rStyle w:val="Literaturverweis"/>
          </w:rPr>
          <w:t xml:space="preserve">42</w:t>
        </w:r>
      </w:hyperlink>
      <w:r>
        <w:rPr>
          <w:rStyle w:val="Literaturverweis"/>
        </w:rPr>
        <w:t xml:space="preserve">]</w:t>
      </w:r>
      <w:r>
        <w:rPr/>
        <w:t xml:space="preserve">.</w:t>
      </w:r>
    </w:p>
    <w:p>
      <w:pPr>
        <w:pStyle w:val="berschrift3"/>
        <w:rPr/>
      </w:pPr>
      <w:bookmarkStart w:id="10254" w:name="ID0EAOAE"/>
      <w:bookmarkEnd w:id="10254"/>
      <w:r>
        <w:rPr/>
        <w:t xml:space="preserve">Allogene  Stammzelltransplantation von  einem  unverwandten Spender</w:t>
      </w:r>
    </w:p>
    <w:p>
      <w:pPr>
        <w:pStyle w:val="Listeneinfhrung"/>
        <w:rPr/>
      </w:pPr>
      <w:bookmarkStart w:id="10255" w:name="ID0EFOAE"/>
      <w:bookmarkEnd w:id="10255"/>
      <w:r>
        <w:rPr/>
        <w:t xml:space="preserve">Die Indikation für eine unverwandte Transplantation besteht in folgenden Situationen:</w:t>
      </w:r>
    </w:p>
    <w:p>
      <w:pPr>
        <w:pStyle w:val="Liste1"/>
        <w:numPr>
          <w:ilvl w:val="0"/>
          <w:numId w:val="57"/>
        </w:numPr>
        <w:rPr/>
      </w:pPr>
      <w:bookmarkStart w:id="10256" w:name="ID0EKOAE"/>
      <w:bookmarkEnd w:id="10256"/>
      <w:r>
        <w:rPr/>
        <w:t xml:space="preserve">Primärtherapie </w:t>
      </w:r>
      <w:r>
        <w:rPr>
          <w:rStyle w:val="Literaturverweis"/>
        </w:rPr>
        <w:t xml:space="preserve">[</w:t>
      </w:r>
      <w:hyperlink w:anchor="litID0EMLAG" w:history="1">
        <w:r>
          <w:rPr>
            <w:rStyle w:val="Literaturverweis"/>
          </w:rPr>
          <w:t xml:space="preserve">13</w:t>
        </w:r>
      </w:hyperlink>
      <w:r>
        <w:rPr>
          <w:rStyle w:val="Literaturverweis"/>
        </w:rPr>
        <w:t xml:space="preserve">,</w:t>
      </w:r>
      <w:hyperlink w:anchor="litID0ELYAG" w:history="1">
        <w:r>
          <w:rPr>
            <w:rStyle w:val="Literaturverweis"/>
          </w:rPr>
          <w:t xml:space="preserve">39</w:t>
        </w:r>
      </w:hyperlink>
      <w:r>
        <w:rPr>
          <w:rStyle w:val="Literaturverweis"/>
        </w:rPr>
        <w:t xml:space="preserve">,</w:t>
      </w:r>
      <w:hyperlink w:anchor="litID0E5YAG" w:history="1">
        <w:r>
          <w:rPr>
            <w:rStyle w:val="Literaturverweis"/>
          </w:rPr>
          <w:t xml:space="preserve">40</w:t>
        </w:r>
      </w:hyperlink>
      <w:r>
        <w:rPr>
          <w:rStyle w:val="Literaturverweis"/>
        </w:rPr>
        <w:t xml:space="preserve">]</w:t>
      </w:r>
      <w:r>
        <w:rPr/>
        <w:t xml:space="preserve">:</w:t>
      </w:r>
    </w:p>
    <w:p>
      <w:pPr>
        <w:pStyle w:val="Standard"/>
        <w:rPr/>
      </w:pPr>
      <w:bookmarkStart w:id="10260" w:name="ID0EXOAE"/>
      <w:bookmarkEnd w:id="10260"/>
      <w:r>
        <w:rPr/>
        <w:t xml:space="preserve">Es gibt bisher noch keinen eindeutigen Konsens über den Einsatz unverwandter Transplantation als Primärtherapie der erworbenen aplastischen Anämie. Gute Ergebnisse mit modifizierten Konditionierungsregimen (siehe unten) können den Einsatz der unverwandten Transplantation als Primärtherapie bei jungen Patienten mit vSAA rechtfertigen, wenn ein Spender mit 10/10 Match (mindestens 9/10 Match) auf Allelebene verfügbar ist </w:t>
      </w:r>
      <w:r>
        <w:rPr>
          <w:rStyle w:val="Literaturverweis"/>
        </w:rPr>
        <w:t xml:space="preserve">[</w:t>
      </w:r>
      <w:hyperlink w:anchor="litID0E54AG" w:history="1">
        <w:r>
          <w:rPr>
            <w:rStyle w:val="Literaturverweis"/>
          </w:rPr>
          <w:t xml:space="preserve">50</w:t>
        </w:r>
      </w:hyperlink>
      <w:r>
        <w:rPr>
          <w:rStyle w:val="Literaturverweis"/>
        </w:rPr>
        <w:t xml:space="preserve">,</w:t>
      </w:r>
      <w:hyperlink w:anchor="litID0EQ5AG" w:history="1">
        <w:r>
          <w:rPr>
            <w:rStyle w:val="Literaturverweis"/>
          </w:rPr>
          <w:t xml:space="preserve">51</w:t>
        </w:r>
      </w:hyperlink>
      <w:r>
        <w:rPr>
          <w:rStyle w:val="Literaturverweis"/>
        </w:rPr>
        <w:t xml:space="preserve">]</w:t>
      </w:r>
      <w:r>
        <w:rPr/>
        <w:t xml:space="preserve">.</w:t>
      </w:r>
    </w:p>
    <w:p>
      <w:pPr>
        <w:pStyle w:val="Liste1"/>
        <w:numPr>
          <w:ilvl w:val="0"/>
          <w:numId w:val="58"/>
        </w:numPr>
        <w:rPr/>
      </w:pPr>
      <w:bookmarkStart w:id="10263" w:name="ID0EDPAE"/>
      <w:bookmarkEnd w:id="10263"/>
      <w:r>
        <w:rPr/>
        <w:t xml:space="preserve">Sekundärtherapie </w:t>
      </w:r>
      <w:r>
        <w:rPr>
          <w:rStyle w:val="Literaturverweis"/>
        </w:rPr>
        <w:t xml:space="preserve">[</w:t>
      </w:r>
      <w:hyperlink w:anchor="litID0EMLAG" w:history="1">
        <w:r>
          <w:rPr>
            <w:rStyle w:val="Literaturverweis"/>
          </w:rPr>
          <w:t xml:space="preserve">13</w:t>
        </w:r>
      </w:hyperlink>
      <w:r>
        <w:rPr>
          <w:rStyle w:val="Literaturverweis"/>
        </w:rPr>
        <w:t xml:space="preserve">,</w:t>
      </w:r>
      <w:hyperlink w:anchor="litID0ELYAG" w:history="1">
        <w:r>
          <w:rPr>
            <w:rStyle w:val="Literaturverweis"/>
          </w:rPr>
          <w:t xml:space="preserve">39</w:t>
        </w:r>
      </w:hyperlink>
      <w:r>
        <w:rPr>
          <w:rStyle w:val="Literaturverweis"/>
        </w:rPr>
        <w:t xml:space="preserve">,</w:t>
      </w:r>
      <w:hyperlink w:anchor="litID0E5YAG" w:history="1">
        <w:r>
          <w:rPr>
            <w:rStyle w:val="Literaturverweis"/>
          </w:rPr>
          <w:t xml:space="preserve">40</w:t>
        </w:r>
      </w:hyperlink>
      <w:r>
        <w:rPr>
          <w:rStyle w:val="Literaturverweis"/>
        </w:rPr>
        <w:t xml:space="preserve">]</w:t>
      </w:r>
      <w:r>
        <w:rPr/>
        <w:t xml:space="preserve">: bei SAA / vSAA und Alter ≤ 40 Jahren nach Versagen von mindestens einem Zyklus immunsuppressiver Kombinations-Therapie mit Pferde-ATG und Ciclosporin A (siehe unten) und keine Verfügbarkeit eines geeigneten Geschwisterspenders; eventuell auch bei Patienten &gt; 40 Jahre, wenn andere Therapieoptionen ausgeschöpft sind und ein guter „Performance Status“ besteht.</w:t>
      </w:r>
    </w:p>
    <w:p>
      <w:pPr>
        <w:pStyle w:val="Standard"/>
        <w:rPr/>
      </w:pPr>
      <w:bookmarkStart w:id="10267" w:name="ID0EQPAE"/>
      <w:bookmarkEnd w:id="10267"/>
      <w:r>
        <w:rPr/>
        <w:t xml:space="preserve">Bei Patienten, welche aufgrund von Alter, Performance Status und Schweregrad der Erkrankung für eine unverwandte Transplantation als Zweitlinien-Therapie in Frage kommen, sollte frühzeitig die Suche nach einem unverwandten Spender eingeleitet werden.</w:t>
      </w:r>
    </w:p>
    <w:p>
      <w:pPr>
        <w:pStyle w:val="berschrift4"/>
        <w:rPr/>
      </w:pPr>
      <w:bookmarkStart w:id="10268" w:name="ID0EUPAE"/>
      <w:bookmarkEnd w:id="10268"/>
      <w:r>
        <w:rPr/>
        <w:t xml:space="preserve">Konditionierung für die unverwandte Stammzelltransplantation</w:t>
      </w:r>
    </w:p>
    <w:p>
      <w:pPr>
        <w:pStyle w:val="Standard"/>
        <w:rPr/>
      </w:pPr>
      <w:bookmarkStart w:id="10269" w:name="ID0EZPAE"/>
      <w:bookmarkEnd w:id="10269"/>
      <w:r>
        <w:rPr/>
        <w:t xml:space="preserve">Bei unverwandter Transplantation soll ein gegenüber der Geschwisterspendertransplantation modifiziertes dosisreduziertes Konditionierungsschema angewandt werden. Die EBMT empfiehlt die Kombination aus Niedrig-Dosis Cyclophosphamid (300 mg/m2 an Tag -6, -5, -4 und -3), Fludarabin (30 mg/m2an Tag -6, -5, -4 und -3), ATG (an Tag -6, -5, -4 und -3) oder Alemtuzumab </w:t>
      </w:r>
      <w:r>
        <w:rPr>
          <w:rStyle w:val="Literaturverweis"/>
        </w:rPr>
        <w:t xml:space="preserve">[</w:t>
      </w:r>
      <w:hyperlink w:anchor="litID0E35AG" w:history="1">
        <w:r>
          <w:rPr>
            <w:rStyle w:val="Literaturverweis"/>
          </w:rPr>
          <w:t xml:space="preserve">52</w:t>
        </w:r>
      </w:hyperlink>
      <w:r>
        <w:rPr>
          <w:rStyle w:val="Literaturverweis"/>
        </w:rPr>
        <w:t xml:space="preserve">,</w:t>
      </w:r>
      <w:hyperlink w:anchor="litID0EO6AG" w:history="1">
        <w:r>
          <w:rPr>
            <w:rStyle w:val="Literaturverweis"/>
          </w:rPr>
          <w:t xml:space="preserve">53</w:t>
        </w:r>
      </w:hyperlink>
      <w:r>
        <w:rPr>
          <w:rStyle w:val="Literaturverweis"/>
        </w:rPr>
        <w:t xml:space="preserve">]</w:t>
      </w:r>
      <w:r>
        <w:rPr/>
        <w:t xml:space="preserve">. Bei Patienten &gt; 14 Jahren ist dieses Schema wegen einer hohen Abstoßungsrate in folgender Weise angepasst worden: 2 Gy Ganzkörperbestrahlung und Halbierung der ATG-Dosis (nur 2 Tage statt 4 Tage) </w:t>
      </w:r>
      <w:r>
        <w:rPr>
          <w:rStyle w:val="Literaturverweis"/>
        </w:rPr>
        <w:t xml:space="preserve">[</w:t>
      </w:r>
      <w:hyperlink w:anchor="litID0E35AG" w:history="1">
        <w:r>
          <w:rPr>
            <w:rStyle w:val="Literaturverweis"/>
          </w:rPr>
          <w:t xml:space="preserve">52</w:t>
        </w:r>
      </w:hyperlink>
      <w:r>
        <w:rPr>
          <w:rStyle w:val="Literaturverweis"/>
        </w:rPr>
        <w:t xml:space="preserve">,</w:t>
      </w:r>
      <w:hyperlink w:anchor="litID0EO6AG" w:history="1">
        <w:r>
          <w:rPr>
            <w:rStyle w:val="Literaturverweis"/>
          </w:rPr>
          <w:t xml:space="preserve">53</w:t>
        </w:r>
      </w:hyperlink>
      <w:r>
        <w:rPr>
          <w:rStyle w:val="Literaturverweis"/>
        </w:rPr>
        <w:t xml:space="preserve">]</w:t>
      </w:r>
      <w:r>
        <w:rPr/>
        <w:t xml:space="preserve">.</w:t>
      </w:r>
    </w:p>
    <w:p>
      <w:pPr>
        <w:pStyle w:val="Standard"/>
        <w:rPr/>
      </w:pPr>
      <w:bookmarkStart w:id="10274" w:name="ID0EKQAE"/>
      <w:bookmarkEnd w:id="10274"/>
      <w:r>
        <w:rPr/>
        <w:t xml:space="preserve">Als T-Zellantikörper kann in diesem Regime sowohl ATG als auch Alemtuzumab eingesetzt werden </w:t>
      </w:r>
      <w:r>
        <w:rPr>
          <w:rStyle w:val="Literaturverweis"/>
        </w:rPr>
        <w:t xml:space="preserve">[</w:t>
      </w:r>
      <w:hyperlink w:anchor="litID0E35AG" w:history="1">
        <w:r>
          <w:rPr>
            <w:rStyle w:val="Literaturverweis"/>
          </w:rPr>
          <w:t xml:space="preserve">52</w:t>
        </w:r>
      </w:hyperlink>
      <w:r>
        <w:rPr>
          <w:rStyle w:val="Literaturverweis"/>
        </w:rPr>
        <w:t xml:space="preserve">,</w:t>
      </w:r>
      <w:hyperlink w:anchor="litID0EO6AG" w:history="1">
        <w:r>
          <w:rPr>
            <w:rStyle w:val="Literaturverweis"/>
          </w:rPr>
          <w:t xml:space="preserve">53</w:t>
        </w:r>
      </w:hyperlink>
      <w:r>
        <w:rPr>
          <w:rStyle w:val="Literaturverweis"/>
        </w:rPr>
        <w:t xml:space="preserve">,</w:t>
      </w:r>
      <w:hyperlink w:anchor="litID0E66AG" w:history="1">
        <w:r>
          <w:rPr>
            <w:rStyle w:val="Literaturverweis"/>
          </w:rPr>
          <w:t xml:space="preserve">54</w:t>
        </w:r>
      </w:hyperlink>
      <w:r>
        <w:rPr>
          <w:rStyle w:val="Literaturverweis"/>
        </w:rPr>
        <w:t xml:space="preserve">]</w:t>
      </w:r>
      <w:r>
        <w:rPr/>
        <w:t xml:space="preserve">.</w:t>
      </w:r>
    </w:p>
    <w:p>
      <w:pPr>
        <w:pStyle w:val="Standard"/>
        <w:rPr/>
      </w:pPr>
      <w:bookmarkStart w:id="10278" w:name="ID0EWQAE"/>
      <w:bookmarkEnd w:id="10278"/>
      <w:r>
        <w:rPr/>
        <w:t xml:space="preserve">Als GvHD-Prophylaxe werden in diesem Protokoll Ciclosporin A und Methotrexat (10 mg/m2an Tag 1 und 8 mg/m2an Tag +3 und +6) gegeben.</w:t>
      </w:r>
    </w:p>
    <w:p>
      <w:pPr>
        <w:pStyle w:val="Standard"/>
        <w:rPr/>
      </w:pPr>
      <w:bookmarkStart w:id="10279" w:name="ID0EYQAE"/>
      <w:bookmarkEnd w:id="10279"/>
      <w:r>
        <w:rPr/>
        <w:t xml:space="preserve">Ein alternativer Ansatz ist die konventionelle Cyclophosphamid-Konditionierung (200 mg/kg) mit ATG und niedrig-dosierter Ganzkörperbestrahlung (2 Gy) </w:t>
      </w:r>
      <w:r>
        <w:rPr>
          <w:rStyle w:val="Literaturverweis"/>
        </w:rPr>
        <w:t xml:space="preserve">[</w:t>
      </w:r>
      <w:hyperlink w:anchor="litID0ELABG" w:history="1">
        <w:r>
          <w:rPr>
            <w:rStyle w:val="Literaturverweis"/>
          </w:rPr>
          <w:t xml:space="preserve">55</w:t>
        </w:r>
      </w:hyperlink>
      <w:r>
        <w:rPr>
          <w:rStyle w:val="Literaturverweis"/>
        </w:rPr>
        <w:t xml:space="preserve">]</w:t>
      </w:r>
      <w:r>
        <w:rPr/>
        <w:t xml:space="preserve">,</w:t>
      </w:r>
      <w:r>
        <w:rPr>
          <w:rStyle w:val="Literaturverweis"/>
        </w:rPr>
        <w:t xml:space="preserve">[</w:t>
      </w:r>
      <w:hyperlink w:anchor="litID0E5ABG" w:history="1">
        <w:r>
          <w:rPr>
            <w:rStyle w:val="Literaturverweis"/>
          </w:rPr>
          <w:t xml:space="preserve">56</w:t>
        </w:r>
      </w:hyperlink>
      <w:r>
        <w:rPr>
          <w:rStyle w:val="Literaturverweis"/>
        </w:rPr>
        <w:t xml:space="preserve">]</w:t>
      </w:r>
      <w:r>
        <w:rPr/>
        <w:t xml:space="preserve"> oder die Kombination einer reduzierten Cyclophosphamid-Dosis (120 mg/kg) mit 8 Gy Ganzkörperbestrahlung </w:t>
      </w:r>
      <w:r>
        <w:rPr>
          <w:rStyle w:val="Literaturverweis"/>
        </w:rPr>
        <w:t xml:space="preserve">[</w:t>
      </w:r>
      <w:hyperlink w:anchor="litID0EQBBG" w:history="1">
        <w:r>
          <w:rPr>
            <w:rStyle w:val="Literaturverweis"/>
          </w:rPr>
          <w:t xml:space="preserve">57</w:t>
        </w:r>
      </w:hyperlink>
      <w:r>
        <w:rPr>
          <w:rStyle w:val="Literaturverweis"/>
        </w:rPr>
        <w:t xml:space="preserve">]</w:t>
      </w:r>
      <w:r>
        <w:rPr/>
        <w:t xml:space="preserve">.</w:t>
      </w:r>
    </w:p>
    <w:p>
      <w:pPr>
        <w:pStyle w:val="berschrift2"/>
        <w:rPr/>
      </w:pPr>
      <w:bookmarkStart w:id="10283" w:name="ID0EMRAE"/>
      <w:bookmarkEnd w:id="10283"/>
      <w:r>
        <w:rPr/>
        <w:t xml:space="preserve">Immunsuppressive Therapie</w:t>
      </w:r>
    </w:p>
    <w:p>
      <w:pPr>
        <w:pStyle w:val="berschrift3"/>
        <w:rPr/>
      </w:pPr>
      <w:bookmarkStart w:id="10284" w:name="ID0ERRAE"/>
      <w:bookmarkEnd w:id="10284"/>
      <w:r>
        <w:rPr/>
        <w:t xml:space="preserve">Indikation</w:t>
      </w:r>
    </w:p>
    <w:p>
      <w:pPr>
        <w:pStyle w:val="Listeneinfhrung"/>
        <w:rPr/>
      </w:pPr>
      <w:bookmarkStart w:id="10285" w:name="ID0EWRAE"/>
      <w:bookmarkEnd w:id="10285"/>
      <w:r>
        <w:rPr/>
        <w:t xml:space="preserve">Eine Indikation für eine immunsuppressive Therapie besteht bei</w:t>
      </w:r>
    </w:p>
    <w:p>
      <w:pPr>
        <w:pStyle w:val="Liste1"/>
        <w:numPr>
          <w:ilvl w:val="0"/>
          <w:numId w:val="59"/>
        </w:numPr>
        <w:rPr/>
      </w:pPr>
      <w:bookmarkStart w:id="10286" w:name="ID0E2RAE"/>
      <w:bookmarkEnd w:id="10286"/>
      <w:r>
        <w:rPr/>
        <w:t xml:space="preserve">Patienten mit vSAA oder SAA &gt; 40 (-50) Jahre oder bei Patienten ohne HLA-identen Geschwisterspender</w:t>
      </w:r>
    </w:p>
    <w:p>
      <w:pPr>
        <w:pStyle w:val="Liste1"/>
        <w:numPr>
          <w:ilvl w:val="0"/>
          <w:numId w:val="59"/>
        </w:numPr>
        <w:rPr/>
      </w:pPr>
      <w:bookmarkStart w:id="10287" w:name="ID0E6RAE"/>
      <w:bookmarkEnd w:id="10287"/>
      <w:r>
        <w:rPr/>
        <w:t xml:space="preserve">Patienten mit nSAA mit Gefährdung durch schwere Zytopenie in mindestens einer Zellreihe</w:t>
      </w:r>
    </w:p>
    <w:p>
      <w:pPr>
        <w:pStyle w:val="Standard"/>
        <w:rPr/>
      </w:pPr>
      <w:bookmarkStart w:id="10288" w:name="ID0ECSAE"/>
      <w:bookmarkEnd w:id="10288"/>
      <w:r>
        <w:rPr/>
        <w:t xml:space="preserve">Für die immunsuppressive Therapie gibt es keine Altersbegrenzung </w:t>
      </w:r>
      <w:r>
        <w:rPr>
          <w:rStyle w:val="Literaturverweis"/>
        </w:rPr>
        <w:t xml:space="preserve">[</w:t>
      </w:r>
      <w:hyperlink w:anchor="litID0ECCBG" w:history="1">
        <w:r>
          <w:rPr>
            <w:rStyle w:val="Literaturverweis"/>
          </w:rPr>
          <w:t xml:space="preserve">58</w:t>
        </w:r>
      </w:hyperlink>
      <w:r>
        <w:rPr>
          <w:rStyle w:val="Literaturverweis"/>
        </w:rPr>
        <w:t xml:space="preserve">,</w:t>
      </w:r>
      <w:hyperlink w:anchor="litID0EOCBG" w:history="1">
        <w:r>
          <w:rPr>
            <w:rStyle w:val="Literaturverweis"/>
          </w:rPr>
          <w:t xml:space="preserve">59</w:t>
        </w:r>
      </w:hyperlink>
      <w:r>
        <w:rPr>
          <w:rStyle w:val="Literaturverweis"/>
        </w:rPr>
        <w:t xml:space="preserve">]</w:t>
      </w:r>
      <w:r>
        <w:rPr/>
        <w:t xml:space="preserve">.</w:t>
      </w:r>
    </w:p>
    <w:p>
      <w:pPr>
        <w:pStyle w:val="berschrift3"/>
        <w:rPr/>
      </w:pPr>
      <w:bookmarkStart w:id="10291" w:name="ID0EOSAE"/>
      <w:bookmarkEnd w:id="10291"/>
      <w:r>
        <w:rPr/>
        <w:t xml:space="preserve">Triple-Therapie mit ATG, Ciclosporin und Corticosteroiden als Erstlinientherapie</w:t>
      </w:r>
    </w:p>
    <w:p>
      <w:pPr>
        <w:pStyle w:val="Standard"/>
        <w:rPr/>
      </w:pPr>
      <w:bookmarkStart w:id="10292" w:name="ID0ETSAE"/>
      <w:bookmarkEnd w:id="10292"/>
      <w:r>
        <w:rPr/>
        <w:t xml:space="preserve">Die </w:t>
      </w:r>
      <w:r>
        <w:rPr>
          <w:rStyle w:val="Absatz-Standardschriftart"/>
          <w:b/>
        </w:rPr>
        <w:t xml:space="preserve">Standardtherapie </w:t>
      </w:r>
      <w:r>
        <w:rPr/>
        <w:t xml:space="preserve">außerhalb von Studien ist die Kombination von Pferde-ATG, Ciclosporin und Corticosteroiden </w:t>
      </w:r>
      <w:r>
        <w:rPr>
          <w:rStyle w:val="Literaturverweis"/>
        </w:rPr>
        <w:t xml:space="preserve">[</w:t>
      </w:r>
      <w:hyperlink w:anchor="litID0EGDBG" w:history="1">
        <w:r>
          <w:rPr>
            <w:rStyle w:val="Literaturverweis"/>
          </w:rPr>
          <w:t xml:space="preserve">60</w:t>
        </w:r>
      </w:hyperlink>
      <w:r>
        <w:rPr>
          <w:rStyle w:val="Literaturverweis"/>
        </w:rPr>
        <w:t xml:space="preserve">,</w:t>
      </w:r>
      <w:hyperlink w:anchor="litID0ERDBG" w:history="1">
        <w:r>
          <w:rPr>
            <w:rStyle w:val="Literaturverweis"/>
          </w:rPr>
          <w:t xml:space="preserve">61</w:t>
        </w:r>
      </w:hyperlink>
      <w:r>
        <w:rPr>
          <w:rStyle w:val="Literaturverweis"/>
        </w:rPr>
        <w:t xml:space="preserve">]</w:t>
      </w:r>
      <w:r>
        <w:rPr/>
        <w:t xml:space="preserve">. Diese Kombinationstherapie ist in der Ansprechrate und dem Therapie-versagensfreien Überleben der Therapie mit ATG oder Ciclosporin überlegen - dies gilt auch für die nSAA </w:t>
      </w:r>
      <w:r>
        <w:rPr>
          <w:rStyle w:val="Literaturverweis"/>
        </w:rPr>
        <w:t xml:space="preserve">[</w:t>
      </w:r>
      <w:hyperlink w:anchor="litID0EFJBG" w:history="1">
        <w:r>
          <w:rPr>
            <w:rStyle w:val="Literaturverweis"/>
          </w:rPr>
          <w:t xml:space="preserve">72</w:t>
        </w:r>
      </w:hyperlink>
      <w:r>
        <w:rPr>
          <w:rStyle w:val="Literaturverweis"/>
        </w:rPr>
        <w:t xml:space="preserve">]</w:t>
      </w:r>
      <w:r>
        <w:rPr/>
        <w:t xml:space="preserve">. Die entsprechenden Studien, welche diese Triple-Kombination als Goldstandard etabliert hatten, waren sämtlich mit Pferde-ATG durchgeführt worden </w:t>
      </w:r>
      <w:r>
        <w:rPr>
          <w:rStyle w:val="Literaturverweis"/>
        </w:rPr>
        <w:t xml:space="preserve">[</w:t>
      </w:r>
      <w:hyperlink w:anchor="litID0EGDBG" w:history="1">
        <w:r>
          <w:rPr>
            <w:rStyle w:val="Literaturverweis"/>
          </w:rPr>
          <w:t xml:space="preserve">60</w:t>
        </w:r>
      </w:hyperlink>
      <w:r>
        <w:rPr>
          <w:rStyle w:val="Literaturverweis"/>
        </w:rPr>
        <w:t xml:space="preserve">]</w:t>
      </w:r>
      <w:r>
        <w:rPr/>
        <w:t xml:space="preserve">,</w:t>
      </w:r>
      <w:r>
        <w:rPr>
          <w:rStyle w:val="Literaturverweis"/>
        </w:rPr>
        <w:t xml:space="preserve">[</w:t>
      </w:r>
      <w:hyperlink w:anchor="litID0ERDBG" w:history="1">
        <w:r>
          <w:rPr>
            <w:rStyle w:val="Literaturverweis"/>
          </w:rPr>
          <w:t xml:space="preserve">61</w:t>
        </w:r>
      </w:hyperlink>
      <w:r>
        <w:rPr>
          <w:rStyle w:val="Literaturverweis"/>
        </w:rPr>
        <w:t xml:space="preserve">]</w:t>
      </w:r>
      <w:r>
        <w:rPr/>
        <w:t xml:space="preserve">,</w:t>
      </w:r>
      <w:r>
        <w:rPr>
          <w:rStyle w:val="Literaturverweis"/>
        </w:rPr>
        <w:t xml:space="preserve">[</w:t>
      </w:r>
      <w:hyperlink w:anchor="litID0EDEBG" w:history="1">
        <w:r>
          <w:rPr>
            <w:rStyle w:val="Literaturverweis"/>
          </w:rPr>
          <w:t xml:space="preserve">62</w:t>
        </w:r>
      </w:hyperlink>
      <w:r>
        <w:rPr>
          <w:rStyle w:val="Literaturverweis"/>
        </w:rPr>
        <w:t xml:space="preserve">]</w:t>
      </w:r>
      <w:r>
        <w:rPr/>
        <w:t xml:space="preserve">,</w:t>
      </w:r>
      <w:r>
        <w:rPr>
          <w:rStyle w:val="Literaturverweis"/>
        </w:rPr>
        <w:t xml:space="preserve">[</w:t>
      </w:r>
      <w:hyperlink w:anchor="litID0EWEBG" w:history="1">
        <w:r>
          <w:rPr>
            <w:rStyle w:val="Literaturverweis"/>
          </w:rPr>
          <w:t xml:space="preserve">63</w:t>
        </w:r>
      </w:hyperlink>
      <w:r>
        <w:rPr>
          <w:rStyle w:val="Literaturverweis"/>
        </w:rPr>
        <w:t xml:space="preserve">]</w:t>
      </w:r>
      <w:r>
        <w:rPr/>
        <w:t xml:space="preserve">,</w:t>
      </w:r>
      <w:r>
        <w:rPr>
          <w:rStyle w:val="Literaturverweis"/>
        </w:rPr>
        <w:t xml:space="preserve">[</w:t>
      </w:r>
      <w:hyperlink w:anchor="litID0EIFBG" w:history="1">
        <w:r>
          <w:rPr>
            <w:rStyle w:val="Literaturverweis"/>
          </w:rPr>
          <w:t xml:space="preserve">64</w:t>
        </w:r>
      </w:hyperlink>
      <w:r>
        <w:rPr>
          <w:rStyle w:val="Literaturverweis"/>
        </w:rPr>
        <w:t xml:space="preserve">]</w:t>
      </w:r>
      <w:r>
        <w:rPr/>
        <w:t xml:space="preserve">,</w:t>
      </w:r>
      <w:r>
        <w:rPr>
          <w:rStyle w:val="Literaturverweis"/>
        </w:rPr>
        <w:t xml:space="preserve">[</w:t>
      </w:r>
      <w:hyperlink w:anchor="litID0E1FBG" w:history="1">
        <w:r>
          <w:rPr>
            <w:rStyle w:val="Literaturverweis"/>
          </w:rPr>
          <w:t xml:space="preserve">65</w:t>
        </w:r>
      </w:hyperlink>
      <w:r>
        <w:rPr>
          <w:rStyle w:val="Literaturverweis"/>
        </w:rPr>
        <w:t xml:space="preserve">]</w:t>
      </w:r>
      <w:r>
        <w:rPr/>
        <w:t xml:space="preserve">,</w:t>
      </w:r>
      <w:r>
        <w:rPr>
          <w:rStyle w:val="Literaturverweis"/>
        </w:rPr>
        <w:t xml:space="preserve">[</w:t>
      </w:r>
      <w:hyperlink w:anchor="litID0EMGBG" w:history="1">
        <w:r>
          <w:rPr>
            <w:rStyle w:val="Literaturverweis"/>
          </w:rPr>
          <w:t xml:space="preserve">66</w:t>
        </w:r>
      </w:hyperlink>
      <w:r>
        <w:rPr>
          <w:rStyle w:val="Literaturverweis"/>
        </w:rPr>
        <w:t xml:space="preserve">]</w:t>
      </w:r>
      <w:r>
        <w:rPr/>
        <w:t xml:space="preserve">,</w:t>
      </w:r>
      <w:r>
        <w:rPr>
          <w:rStyle w:val="Literaturverweis"/>
        </w:rPr>
        <w:t xml:space="preserve">[</w:t>
      </w:r>
      <w:hyperlink w:anchor="litID0EYGBG" w:history="1">
        <w:r>
          <w:rPr>
            <w:rStyle w:val="Literaturverweis"/>
          </w:rPr>
          <w:t xml:space="preserve">67</w:t>
        </w:r>
      </w:hyperlink>
      <w:r>
        <w:rPr>
          <w:rStyle w:val="Literaturverweis"/>
        </w:rPr>
        <w:t xml:space="preserve">]</w:t>
      </w:r>
      <w:r>
        <w:rPr/>
        <w:t xml:space="preserve">,</w:t>
      </w:r>
      <w:r>
        <w:rPr>
          <w:rStyle w:val="Literaturverweis"/>
        </w:rPr>
        <w:t xml:space="preserve">[</w:t>
      </w:r>
      <w:hyperlink w:anchor="litID0EEHBG" w:history="1">
        <w:r>
          <w:rPr>
            <w:rStyle w:val="Literaturverweis"/>
          </w:rPr>
          <w:t xml:space="preserve">68</w:t>
        </w:r>
      </w:hyperlink>
      <w:r>
        <w:rPr>
          <w:rStyle w:val="Literaturverweis"/>
        </w:rPr>
        <w:t xml:space="preserve">]</w:t>
      </w:r>
      <w:r>
        <w:rPr/>
        <w:t xml:space="preserve">,</w:t>
      </w:r>
      <w:r>
        <w:rPr>
          <w:rStyle w:val="Literaturverweis"/>
        </w:rPr>
        <w:t xml:space="preserve">[</w:t>
      </w:r>
      <w:hyperlink w:anchor="litID0E3HBG" w:history="1">
        <w:r>
          <w:rPr>
            <w:rStyle w:val="Literaturverweis"/>
          </w:rPr>
          <w:t xml:space="preserve">69</w:t>
        </w:r>
      </w:hyperlink>
      <w:r>
        <w:rPr>
          <w:rStyle w:val="Literaturverweis"/>
        </w:rPr>
        <w:t xml:space="preserve">]</w:t>
      </w:r>
      <w:r>
        <w:rPr/>
        <w:t xml:space="preserve">. Im Jahr 2007 wurde das einzige in Europa zugelassene Pferde-ATG-Präparat (Lymphoglobulin®) vom Markt genommen </w:t>
      </w:r>
      <w:r>
        <w:rPr>
          <w:rStyle w:val="Literaturverweis"/>
        </w:rPr>
        <w:t xml:space="preserve">[</w:t>
      </w:r>
      <w:hyperlink w:anchor="litID0EIIBG" w:history="1">
        <w:r>
          <w:rPr>
            <w:rStyle w:val="Literaturverweis"/>
          </w:rPr>
          <w:t xml:space="preserve">70</w:t>
        </w:r>
      </w:hyperlink>
      <w:r>
        <w:rPr>
          <w:rStyle w:val="Literaturverweis"/>
        </w:rPr>
        <w:t xml:space="preserve">]</w:t>
      </w:r>
      <w:r>
        <w:rPr/>
        <w:t xml:space="preserve">. Die Kombinationstherapien wurden daraufhin mit Kaninchen-ATG durchgeführt. Eine kürzlich publizierte randomisierte Studie zeigte im Vergleich von Kaninchen-ATG (Thymoglobulin®) und Pferde-ATG (ATGAM®), dass die Ansprechrate und das Gesamtüberleben mit Pferde-ATG signifikant besser ist als mit Kaninchen-ATG </w:t>
      </w:r>
      <w:r>
        <w:rPr>
          <w:rStyle w:val="Literaturverweis"/>
        </w:rPr>
        <w:t xml:space="preserve">[</w:t>
      </w:r>
      <w:hyperlink w:anchor="litID0E1IBG" w:history="1">
        <w:r>
          <w:rPr>
            <w:rStyle w:val="Literaturverweis"/>
          </w:rPr>
          <w:t xml:space="preserve">71</w:t>
        </w:r>
      </w:hyperlink>
      <w:r>
        <w:rPr>
          <w:rStyle w:val="Literaturverweis"/>
        </w:rPr>
        <w:t xml:space="preserve">]</w:t>
      </w:r>
      <w:r>
        <w:rPr/>
        <w:t xml:space="preserve">. Die Ansprechrate nach 3 Monaten betrug mit Pferde-ATG 62% verglichen mit nur 33% in der Kaninchen-ATG Gruppe. Das Gesamtüberleben war mit 85% nach Pferde-ATG signifikant besser als nach Kaninchen-ATG basierter Therapie (55%) </w:t>
      </w:r>
      <w:r>
        <w:rPr>
          <w:rStyle w:val="Literaturverweis"/>
        </w:rPr>
        <w:t xml:space="preserve">[</w:t>
      </w:r>
      <w:hyperlink w:anchor="litID0E1IBG" w:history="1">
        <w:r>
          <w:rPr>
            <w:rStyle w:val="Literaturverweis"/>
          </w:rPr>
          <w:t xml:space="preserve">71</w:t>
        </w:r>
      </w:hyperlink>
      <w:r>
        <w:rPr>
          <w:rStyle w:val="Literaturverweis"/>
        </w:rPr>
        <w:t xml:space="preserve">]</w:t>
      </w:r>
      <w:r>
        <w:rPr/>
        <w:t xml:space="preserve">. Weitere, allerdings nicht-randomisierte Studien, welche Kaninchen-ATG-Therapie in der Erstlinien-Therapie untersuchen, kommen teilweise zu diskrepanten Ergebnissen </w:t>
      </w:r>
      <w:r>
        <w:rPr>
          <w:rStyle w:val="Literaturverweis"/>
        </w:rPr>
        <w:t xml:space="preserve">[</w:t>
      </w:r>
      <w:hyperlink w:anchor="litID0EFJBG" w:history="1">
        <w:r>
          <w:rPr>
            <w:rStyle w:val="Literaturverweis"/>
          </w:rPr>
          <w:t xml:space="preserve">72</w:t>
        </w:r>
      </w:hyperlink>
      <w:r>
        <w:rPr>
          <w:rStyle w:val="Literaturverweis"/>
        </w:rPr>
        <w:t xml:space="preserve">,</w:t>
      </w:r>
      <w:hyperlink w:anchor="litID0ERJBG" w:history="1">
        <w:r>
          <w:rPr>
            <w:rStyle w:val="Literaturverweis"/>
          </w:rPr>
          <w:t xml:space="preserve">73</w:t>
        </w:r>
      </w:hyperlink>
      <w:r>
        <w:rPr>
          <w:rStyle w:val="Literaturverweis"/>
        </w:rPr>
        <w:t xml:space="preserve">,</w:t>
      </w:r>
      <w:hyperlink w:anchor="litID0EEKBG" w:history="1">
        <w:r>
          <w:rPr>
            <w:rStyle w:val="Literaturverweis"/>
          </w:rPr>
          <w:t xml:space="preserve">74</w:t>
        </w:r>
      </w:hyperlink>
      <w:r>
        <w:rPr>
          <w:rStyle w:val="Literaturverweis"/>
        </w:rPr>
        <w:t xml:space="preserve">,</w:t>
      </w:r>
      <w:hyperlink w:anchor="litID0EVKBG" w:history="1">
        <w:r>
          <w:rPr>
            <w:rStyle w:val="Literaturverweis"/>
          </w:rPr>
          <w:t xml:space="preserve">75</w:t>
        </w:r>
      </w:hyperlink>
      <w:r>
        <w:rPr>
          <w:rStyle w:val="Literaturverweis"/>
        </w:rPr>
        <w:t xml:space="preserve">,</w:t>
      </w:r>
      <w:hyperlink w:anchor="litID0E2KBG" w:history="1">
        <w:r>
          <w:rPr>
            <w:rStyle w:val="Literaturverweis"/>
          </w:rPr>
          <w:t xml:space="preserve">76</w:t>
        </w:r>
      </w:hyperlink>
      <w:r>
        <w:rPr>
          <w:rStyle w:val="Literaturverweis"/>
        </w:rPr>
        <w:t xml:space="preserve">,</w:t>
      </w:r>
      <w:hyperlink w:anchor="litID0EBLBG" w:history="1">
        <w:r>
          <w:rPr>
            <w:rStyle w:val="Literaturverweis"/>
          </w:rPr>
          <w:t xml:space="preserve">77</w:t>
        </w:r>
      </w:hyperlink>
      <w:r>
        <w:rPr>
          <w:rStyle w:val="Literaturverweis"/>
        </w:rPr>
        <w:t xml:space="preserve">,</w:t>
      </w:r>
      <w:hyperlink w:anchor="litID0ETLBG" w:history="1">
        <w:r>
          <w:rPr>
            <w:rStyle w:val="Literaturverweis"/>
          </w:rPr>
          <w:t xml:space="preserve">78</w:t>
        </w:r>
      </w:hyperlink>
      <w:r>
        <w:rPr>
          <w:rStyle w:val="Literaturverweis"/>
        </w:rPr>
        <w:t xml:space="preserve">,</w:t>
      </w:r>
      <w:hyperlink w:anchor="litID0EEMBG" w:history="1">
        <w:r>
          <w:rPr>
            <w:rStyle w:val="Literaturverweis"/>
          </w:rPr>
          <w:t xml:space="preserve">79</w:t>
        </w:r>
      </w:hyperlink>
      <w:r>
        <w:rPr>
          <w:rStyle w:val="Literaturverweis"/>
        </w:rPr>
        <w:t xml:space="preserve">]</w:t>
      </w:r>
      <w:r>
        <w:rPr/>
        <w:t xml:space="preserve">. Fünf der sieben Studien berichten ebenfalls über schlechteres Ansprechen und Gesamtüberleben mit Thymoglobulin im Vergleich zu historischen Kontrollen </w:t>
      </w:r>
      <w:r>
        <w:rPr>
          <w:rStyle w:val="Literaturverweis"/>
        </w:rPr>
        <w:t xml:space="preserve">[</w:t>
      </w:r>
      <w:hyperlink w:anchor="litID0EFJBG" w:history="1">
        <w:r>
          <w:rPr>
            <w:rStyle w:val="Literaturverweis"/>
          </w:rPr>
          <w:t xml:space="preserve">72</w:t>
        </w:r>
      </w:hyperlink>
      <w:r>
        <w:rPr>
          <w:rStyle w:val="Literaturverweis"/>
        </w:rPr>
        <w:t xml:space="preserve">,</w:t>
      </w:r>
      <w:hyperlink w:anchor="litID0EEKBG" w:history="1">
        <w:r>
          <w:rPr>
            <w:rStyle w:val="Literaturverweis"/>
          </w:rPr>
          <w:t xml:space="preserve">74</w:t>
        </w:r>
      </w:hyperlink>
      <w:r>
        <w:rPr>
          <w:rStyle w:val="Literaturverweis"/>
        </w:rPr>
        <w:t xml:space="preserve">,</w:t>
      </w:r>
      <w:hyperlink w:anchor="litID0EVKBG" w:history="1">
        <w:r>
          <w:rPr>
            <w:rStyle w:val="Literaturverweis"/>
          </w:rPr>
          <w:t xml:space="preserve">75</w:t>
        </w:r>
      </w:hyperlink>
      <w:r>
        <w:rPr>
          <w:rStyle w:val="Literaturverweis"/>
        </w:rPr>
        <w:t xml:space="preserve">,</w:t>
      </w:r>
      <w:hyperlink w:anchor="litID0E2KBG" w:history="1">
        <w:r>
          <w:rPr>
            <w:rStyle w:val="Literaturverweis"/>
          </w:rPr>
          <w:t xml:space="preserve">76</w:t>
        </w:r>
      </w:hyperlink>
      <w:r>
        <w:rPr>
          <w:rStyle w:val="Literaturverweis"/>
        </w:rPr>
        <w:t xml:space="preserve">,</w:t>
      </w:r>
      <w:hyperlink w:anchor="litID0EEMBG" w:history="1">
        <w:r>
          <w:rPr>
            <w:rStyle w:val="Literaturverweis"/>
          </w:rPr>
          <w:t xml:space="preserve">79</w:t>
        </w:r>
      </w:hyperlink>
      <w:r>
        <w:rPr>
          <w:rStyle w:val="Literaturverweis"/>
        </w:rPr>
        <w:t xml:space="preserve">]</w:t>
      </w:r>
      <w:r>
        <w:rPr/>
        <w:t xml:space="preserve">. Die übrigen Studien zeigen gleiche Ergebnisse mit Pferde- und Kaninchen-ATG </w:t>
      </w:r>
      <w:r>
        <w:rPr>
          <w:rStyle w:val="Literaturverweis"/>
        </w:rPr>
        <w:t xml:space="preserve">[</w:t>
      </w:r>
      <w:hyperlink w:anchor="litID0EBLBG" w:history="1">
        <w:r>
          <w:rPr>
            <w:rStyle w:val="Literaturverweis"/>
          </w:rPr>
          <w:t xml:space="preserve">77</w:t>
        </w:r>
      </w:hyperlink>
      <w:r>
        <w:rPr>
          <w:rStyle w:val="Literaturverweis"/>
        </w:rPr>
        <w:t xml:space="preserve">,</w:t>
      </w:r>
      <w:hyperlink w:anchor="litID0ETLBG" w:history="1">
        <w:r>
          <w:rPr>
            <w:rStyle w:val="Literaturverweis"/>
          </w:rPr>
          <w:t xml:space="preserve">78</w:t>
        </w:r>
      </w:hyperlink>
      <w:r>
        <w:rPr>
          <w:rStyle w:val="Literaturverweis"/>
        </w:rPr>
        <w:t xml:space="preserve">]</w:t>
      </w:r>
      <w:r>
        <w:rPr/>
        <w:t xml:space="preserve">. Keine Studie berichtet über bessere Ansprechraten in der Primärtherapie mit Thymoglobulin.</w:t>
      </w:r>
    </w:p>
    <w:p>
      <w:pPr>
        <w:pStyle w:val="Standard"/>
        <w:rPr/>
      </w:pPr>
      <w:bookmarkStart w:id="10324" w:name="ID0EMWAE"/>
      <w:bookmarkEnd w:id="10324"/>
      <w:r>
        <w:rPr/>
        <w:t xml:space="preserve">Der in Deutschland seit 2007 bis zum Bekanntwerden der oben zitierten Daten praktizierte Wechsel von Pferde-ATG auf Kaninchen-ATG war nicht Evidenzbasiert, sondern durch die mangelnde Verfügbarkeit bedingt. Es sollte versucht werden, die Triple-Therapie weiterhin mit Pferde-ATG durchzuführen, indem dieses aus dem Ausland bezogen wird </w:t>
      </w:r>
      <w:r>
        <w:rPr>
          <w:rStyle w:val="Literaturverweis"/>
        </w:rPr>
        <w:t xml:space="preserve">[</w:t>
      </w:r>
      <w:hyperlink w:anchor="litID0EWEBG" w:history="1">
        <w:r>
          <w:rPr>
            <w:rStyle w:val="Literaturverweis"/>
          </w:rPr>
          <w:t xml:space="preserve">63</w:t>
        </w:r>
      </w:hyperlink>
      <w:r>
        <w:rPr>
          <w:rStyle w:val="Literaturverweis"/>
        </w:rPr>
        <w:t xml:space="preserve">]</w:t>
      </w:r>
      <w:r>
        <w:rPr/>
        <w:t xml:space="preserve">. Nach aktuellen Erfahrungen ist ein Bezug aus dem Ausland in den meisten Fällen zeitgerecht möglich. Das Präparat (ATGAM®) ist in Deutschland nicht zugelassen. Eine Triple-Therapie mit Pferde-ATG stellt nach aktuellem Stand der Wissenschaft die immunsuppressive Therapie mit der besten Ansprechrate und dem besten therapie-versagensfreien Überleben dar. Daher sollte nach entsprechender Aufklärung der Patienten diese Option favorisiert werden. Eine Klärung der Kostenübernahme mit den Kostenträgern ist ratsam.</w:t>
      </w:r>
    </w:p>
    <w:p>
      <w:pPr>
        <w:pStyle w:val="Standard"/>
        <w:rPr/>
      </w:pPr>
      <w:bookmarkStart w:id="10326" w:name="ID0EUWAE"/>
      <w:bookmarkEnd w:id="10326"/>
      <w:r>
        <w:rPr/>
        <w:t xml:space="preserve">Mangelnde Verfügbarkeit von Pferde-ATG sollte nicht dazu führen, auf eine indizierte ATG-Therapie zu verzichten. Die Ansprechrate der Kombinationstherapie ist besser als bei Ciclosporin-Monotherapie </w:t>
      </w:r>
      <w:r>
        <w:rPr>
          <w:rStyle w:val="Literaturverweis"/>
        </w:rPr>
        <w:t xml:space="preserve">[</w:t>
      </w:r>
      <w:hyperlink w:anchor="litID0E3HBG" w:history="1">
        <w:r>
          <w:rPr>
            <w:rStyle w:val="Literaturverweis"/>
          </w:rPr>
          <w:t xml:space="preserve">69</w:t>
        </w:r>
      </w:hyperlink>
      <w:r>
        <w:rPr>
          <w:rStyle w:val="Literaturverweis"/>
        </w:rPr>
        <w:t xml:space="preserve">]</w:t>
      </w:r>
      <w:r>
        <w:rPr/>
        <w:t xml:space="preserve">.</w:t>
      </w:r>
    </w:p>
    <w:p>
      <w:pPr>
        <w:pStyle w:val="Standard"/>
        <w:rPr/>
      </w:pPr>
      <w:bookmarkStart w:id="10328" w:name="ID0E3WAE"/>
      <w:bookmarkEnd w:id="10328"/>
      <w:r>
        <w:rPr/>
        <w:t xml:space="preserve">Andere immunsuppressive Mehrfachkombinationen (z.B. Mycophenolat oder Sirolimus) haben keine Verbesserung der Ansprechrate erbracht </w:t>
      </w:r>
      <w:r>
        <w:rPr>
          <w:rStyle w:val="Literaturverweis"/>
        </w:rPr>
        <w:t xml:space="preserve">[</w:t>
      </w:r>
      <w:hyperlink w:anchor="litID0EWEBG" w:history="1">
        <w:r>
          <w:rPr>
            <w:rStyle w:val="Literaturverweis"/>
          </w:rPr>
          <w:t xml:space="preserve">63</w:t>
        </w:r>
      </w:hyperlink>
      <w:r>
        <w:rPr>
          <w:rStyle w:val="Literaturverweis"/>
        </w:rPr>
        <w:t xml:space="preserve">,</w:t>
      </w:r>
      <w:hyperlink w:anchor="litID0EIFBG" w:history="1">
        <w:r>
          <w:rPr>
            <w:rStyle w:val="Literaturverweis"/>
          </w:rPr>
          <w:t xml:space="preserve">64</w:t>
        </w:r>
      </w:hyperlink>
      <w:r>
        <w:rPr>
          <w:rStyle w:val="Literaturverweis"/>
        </w:rPr>
        <w:t xml:space="preserve">]</w:t>
      </w:r>
      <w:r>
        <w:rPr/>
        <w:t xml:space="preserve">. Mit Mycophenolat statt Ciclosporin trat eine hohe Rate früher Rezidive auf </w:t>
      </w:r>
      <w:r>
        <w:rPr>
          <w:rStyle w:val="Literaturverweis"/>
        </w:rPr>
        <w:t xml:space="preserve">[</w:t>
      </w:r>
      <w:hyperlink w:anchor="litID0EWEBG" w:history="1">
        <w:r>
          <w:rPr>
            <w:rStyle w:val="Literaturverweis"/>
          </w:rPr>
          <w:t xml:space="preserve">63</w:t>
        </w:r>
      </w:hyperlink>
      <w:r>
        <w:rPr>
          <w:rStyle w:val="Literaturverweis"/>
        </w:rPr>
        <w:t xml:space="preserve">]</w:t>
      </w:r>
      <w:r>
        <w:rPr/>
        <w:t xml:space="preserve">.</w:t>
      </w:r>
    </w:p>
    <w:p>
      <w:pPr>
        <w:pStyle w:val="berschrift3"/>
        <w:rPr/>
      </w:pPr>
      <w:bookmarkStart w:id="10332" w:name="ID0ENXAE"/>
      <w:bookmarkEnd w:id="10332"/>
      <w:r>
        <w:rPr/>
        <w:t xml:space="preserve">Medikamente</w:t>
      </w:r>
    </w:p>
    <w:p>
      <w:pPr>
        <w:pStyle w:val="Standard"/>
        <w:rPr/>
      </w:pPr>
      <w:bookmarkStart w:id="10333" w:name="ID0ESXAE"/>
      <w:bookmarkEnd w:id="10333"/>
      <w:r>
        <w:rPr/>
        <w:t xml:space="preserve">Details zum Zulassungsstatus und zu Dosierungen sind in den Anhängen </w:t>
      </w:r>
      <w:hyperlink r:id="rIdex_ID0EB1AE">
        <w:r>
          <w:rPr>
            <w:rStyle w:val="Hyperlink"/>
          </w:rPr>
          <w:t xml:space="preserve">Medikamentöse Therapie-Protokolle</w:t>
        </w:r>
      </w:hyperlink>
      <w:r>
        <w:rPr/>
        <w:t xml:space="preserve"> und </w:t>
      </w:r>
      <w:hyperlink r:id="rIdex_ID0EH1AE">
        <w:r>
          <w:rPr>
            <w:rStyle w:val="Hyperlink"/>
          </w:rPr>
          <w:t xml:space="preserve">Zulassungsstatus</w:t>
        </w:r>
      </w:hyperlink>
      <w:r>
        <w:rPr/>
        <w:t xml:space="preserve"> zusammengefasst.</w:t>
      </w:r>
    </w:p>
    <w:p>
      <w:pPr>
        <w:pStyle w:val="Standard"/>
        <w:rPr/>
      </w:pPr>
      <w:bookmarkStart w:id="10336" w:name="ID0EDYAE"/>
      <w:bookmarkEnd w:id="10336"/>
      <w:r>
        <w:rPr/>
        <w:t xml:space="preserve">Die empfohlenen Dosierungen für </w:t>
      </w:r>
      <w:r>
        <w:rPr>
          <w:rStyle w:val="Absatz-Standardschriftart"/>
          <w:b/>
        </w:rPr>
        <w:t xml:space="preserve">ATG </w:t>
      </w:r>
      <w:r>
        <w:rPr/>
        <w:t xml:space="preserve">sind nach Produkt sehr verschieden (Thymoglobulin 2.5 - 3.75 mg/kg KG und Tag, an 5 aufeinanderfolgenden Tagen; ATGAM 40 mg/kg KG und Tag an 4 aufeinanderfolgenden Tagen) </w:t>
      </w:r>
      <w:r>
        <w:rPr>
          <w:rStyle w:val="Literaturverweis"/>
        </w:rPr>
        <w:t xml:space="preserve">[</w:t>
      </w:r>
      <w:hyperlink w:anchor="litID0E1IBG" w:history="1">
        <w:r>
          <w:rPr>
            <w:rStyle w:val="Literaturverweis"/>
          </w:rPr>
          <w:t xml:space="preserve">71</w:t>
        </w:r>
      </w:hyperlink>
      <w:r>
        <w:rPr>
          <w:rStyle w:val="Literaturverweis"/>
        </w:rPr>
        <w:t xml:space="preserve">]</w:t>
      </w:r>
      <w:r>
        <w:rPr/>
        <w:t xml:space="preserve">. Die Gabe erfolgt als Infusion mit einer Infusionszeit von mindestens 4 Stunden, in der Regel über 8-12 Stunden. Bei allergischen Reaktionen sollte die Infusionszeit verlängert werden.</w:t>
      </w:r>
    </w:p>
    <w:p>
      <w:pPr>
        <w:pStyle w:val="Standard"/>
        <w:rPr/>
      </w:pPr>
      <w:bookmarkStart w:id="10338" w:name="ID0ENYAE"/>
      <w:bookmarkEnd w:id="10338"/>
      <w:r>
        <w:rPr/>
        <w:t xml:space="preserve">Begleitend zur ATG-Therapie ist die Gabe von Corticosteroiden erforderlich (z.B. Prednisolon, initial 1 mg/kg KG i.v. vor ATG-Infusion; nach Ende der ATG-Therapie Fortsetzung mit 1 mg/kg KG p.o.). Anschließend rasches Ausschleichen bis Tag 28, falls keine Serumkrankheitssymptome bestehen. Bei akuten allergischen Reaktionen auf ATG oder Serumkrankheit ist eine individuelle Anpassung der Corticosteroid-Dosis nach Schweregrad und Dauer der Symptome erforderlich </w:t>
      </w:r>
      <w:r>
        <w:rPr>
          <w:rStyle w:val="Literaturverweis"/>
        </w:rPr>
        <w:t xml:space="preserve">[</w:t>
      </w:r>
      <w:hyperlink w:anchor="litID0EV3AG" w:history="1">
        <w:r>
          <w:rPr>
            <w:rStyle w:val="Literaturverweis"/>
          </w:rPr>
          <w:t xml:space="preserve">47</w:t>
        </w:r>
      </w:hyperlink>
      <w:r>
        <w:rPr>
          <w:rStyle w:val="Literaturverweis"/>
        </w:rPr>
        <w:t xml:space="preserve">]</w:t>
      </w:r>
      <w:r>
        <w:rPr/>
        <w:t xml:space="preserve">.</w:t>
      </w:r>
    </w:p>
    <w:p>
      <w:pPr>
        <w:pStyle w:val="Standard"/>
        <w:rPr/>
      </w:pPr>
      <w:bookmarkStart w:id="10340" w:name="ID0EVYAE"/>
      <w:bookmarkEnd w:id="10340"/>
      <w:r>
        <w:rPr>
          <w:rStyle w:val="Absatz-Standardschriftart"/>
          <w:b/>
        </w:rPr>
        <w:t xml:space="preserve">Ciclosporin </w:t>
      </w:r>
      <w:r>
        <w:rPr/>
        <w:t xml:space="preserve">soll initial in einer Dosierung von 5 mg/kg KG/Tag p.o. gegeben werden; danach Dosisspiegel-adaptiert (Vollblutkonzentration Talspiegel 150-250 ng/ml) </w:t>
      </w:r>
      <w:r>
        <w:rPr>
          <w:rStyle w:val="Literaturverweis"/>
        </w:rPr>
        <w:t xml:space="preserve">[</w:t>
      </w:r>
      <w:hyperlink w:anchor="litID0EV3AG" w:history="1">
        <w:r>
          <w:rPr>
            <w:rStyle w:val="Literaturverweis"/>
          </w:rPr>
          <w:t xml:space="preserve">47</w:t>
        </w:r>
      </w:hyperlink>
      <w:r>
        <w:rPr>
          <w:rStyle w:val="Literaturverweis"/>
        </w:rPr>
        <w:t xml:space="preserve">]</w:t>
      </w:r>
      <w:r>
        <w:rPr/>
        <w:t xml:space="preserve">. Ciclosporin sollte mindestens 4 Monate fortgesetzt werden, danach weitere Steuerung der Therapie nach Ansprechen und Verlauf. Viele Patienten haben nach 4 Monaten angesprochen, zeigen aber noch einen langsam kontinuierlichen Anstieg der Blutbildwerte. Dann sollte Ciclosporin fortgesetzt werden, bis dokumentiert über 6-8 Wochen keine weitere Verbesserung der Blutbildwerte eintritt. Dann kann ein langsames (!) Ausschleichen eingeleitet werden (Dosisreduktion um 0,3 mg/kg Körpergewicht und Monat). Schnelleres Ausschleichen ist mit einer höheren Rezidivgefahr assoziiert </w:t>
      </w:r>
      <w:r>
        <w:rPr>
          <w:rStyle w:val="Literaturverweis"/>
        </w:rPr>
        <w:t xml:space="preserve">[</w:t>
      </w:r>
      <w:hyperlink w:anchor="litID0EKMBG" w:history="1">
        <w:r>
          <w:rPr>
            <w:rStyle w:val="Literaturverweis"/>
          </w:rPr>
          <w:t xml:space="preserve">80</w:t>
        </w:r>
      </w:hyperlink>
      <w:r>
        <w:rPr>
          <w:rStyle w:val="Literaturverweis"/>
        </w:rPr>
        <w:t xml:space="preserve">]</w:t>
      </w:r>
      <w:r>
        <w:rPr/>
        <w:t xml:space="preserve">.</w:t>
      </w:r>
    </w:p>
    <w:p>
      <w:pPr>
        <w:pStyle w:val="berschrift3"/>
        <w:rPr/>
      </w:pPr>
      <w:bookmarkStart w:id="10343" w:name="ID0EFZAE"/>
      <w:bookmarkEnd w:id="10343"/>
      <w:r>
        <w:rPr/>
        <w:t xml:space="preserve">Hämatopoietische Wachstumsfaktoren</w:t>
      </w:r>
    </w:p>
    <w:p>
      <w:pPr>
        <w:pStyle w:val="Standard"/>
        <w:rPr/>
      </w:pPr>
      <w:bookmarkStart w:id="10344" w:name="ID0EKZAE"/>
      <w:bookmarkEnd w:id="10344"/>
      <w:r>
        <w:rPr/>
        <w:t xml:space="preserve">Die Gabe von </w:t>
      </w:r>
      <w:r>
        <w:rPr>
          <w:rStyle w:val="Absatz-Standardschriftart"/>
          <w:b/>
        </w:rPr>
        <w:t xml:space="preserve">G-CSF </w:t>
      </w:r>
      <w:r>
        <w:rPr/>
        <w:t xml:space="preserve">in Kombination mit der Triple-Immunusppression führt zu einer beschleunigten Anstieg der neutrophilen Granulozyten und einer Verminderung der Infektionen und Hospitalisierungsdauer </w:t>
      </w:r>
      <w:r>
        <w:rPr>
          <w:rStyle w:val="Literaturverweis"/>
        </w:rPr>
        <w:t xml:space="preserve">[</w:t>
      </w:r>
      <w:hyperlink w:anchor="litID0EEHBG" w:history="1">
        <w:r>
          <w:rPr>
            <w:rStyle w:val="Literaturverweis"/>
          </w:rPr>
          <w:t xml:space="preserve">68</w:t>
        </w:r>
      </w:hyperlink>
      <w:r>
        <w:rPr>
          <w:rStyle w:val="Literaturverweis"/>
        </w:rPr>
        <w:t xml:space="preserve">]</w:t>
      </w:r>
      <w:r>
        <w:rPr/>
        <w:t xml:space="preserve">. Das trilineäre Ansprechen, das ereignisfreie Überleben, die Rezidivrate und das Gesamtüberleben werden durch Gabe von G-CSF nicht verbessert </w:t>
      </w:r>
      <w:r>
        <w:rPr>
          <w:rStyle w:val="Literaturverweis"/>
        </w:rPr>
        <w:t xml:space="preserve">[</w:t>
      </w:r>
      <w:hyperlink w:anchor="litID0ERDBG" w:history="1">
        <w:r>
          <w:rPr>
            <w:rStyle w:val="Literaturverweis"/>
          </w:rPr>
          <w:t xml:space="preserve">61</w:t>
        </w:r>
      </w:hyperlink>
      <w:r>
        <w:rPr>
          <w:rStyle w:val="Literaturverweis"/>
        </w:rPr>
        <w:t xml:space="preserve">]</w:t>
      </w:r>
      <w:r>
        <w:rPr/>
        <w:t xml:space="preserve">. In einer Studie wurde in der G-CSF-Gruppe eine signifikant geringere Rezidivrate im Vergleich zu Triple-Immunsuppression ohne G-CSF beobachtet </w:t>
      </w:r>
      <w:r>
        <w:rPr>
          <w:rStyle w:val="Literaturverweis"/>
        </w:rPr>
        <w:t xml:space="preserve">[</w:t>
      </w:r>
      <w:hyperlink w:anchor="litID0E3MBG" w:history="1">
        <w:r>
          <w:rPr>
            <w:rStyle w:val="Literaturverweis"/>
          </w:rPr>
          <w:t xml:space="preserve">81</w:t>
        </w:r>
      </w:hyperlink>
      <w:r>
        <w:rPr>
          <w:rStyle w:val="Literaturverweis"/>
        </w:rPr>
        <w:t xml:space="preserve">]</w:t>
      </w:r>
      <w:r>
        <w:rPr/>
        <w:t xml:space="preserve">. In einer weiteren klinischen Studie wurde dies jedoch nicht bestätigt </w:t>
      </w:r>
      <w:r>
        <w:rPr>
          <w:rStyle w:val="Literaturverweis"/>
        </w:rPr>
        <w:t xml:space="preserve">[</w:t>
      </w:r>
      <w:hyperlink w:anchor="litID0EEHBG" w:history="1">
        <w:r>
          <w:rPr>
            <w:rStyle w:val="Literaturverweis"/>
          </w:rPr>
          <w:t xml:space="preserve">68</w:t>
        </w:r>
      </w:hyperlink>
      <w:r>
        <w:rPr>
          <w:rStyle w:val="Literaturverweis"/>
        </w:rPr>
        <w:t xml:space="preserve">]</w:t>
      </w:r>
      <w:r>
        <w:rPr/>
        <w:t xml:space="preserve">. Außerhalb von klinischen Studien wird die Gabe von G-CSF bei aplastischer Anämie nicht empfohlen </w:t>
      </w:r>
      <w:r>
        <w:rPr>
          <w:rStyle w:val="Literaturverweis"/>
        </w:rPr>
        <w:t xml:space="preserve">[</w:t>
      </w:r>
      <w:hyperlink w:anchor="litID0EMLAG" w:history="1">
        <w:r>
          <w:rPr>
            <w:rStyle w:val="Literaturverweis"/>
          </w:rPr>
          <w:t xml:space="preserve">13</w:t>
        </w:r>
      </w:hyperlink>
      <w:r>
        <w:rPr>
          <w:rStyle w:val="Literaturverweis"/>
        </w:rPr>
        <w:t xml:space="preserve">,</w:t>
      </w:r>
      <w:hyperlink w:anchor="litID0EONBG" w:history="1">
        <w:r>
          <w:rPr>
            <w:rStyle w:val="Literaturverweis"/>
          </w:rPr>
          <w:t xml:space="preserve">82</w:t>
        </w:r>
      </w:hyperlink>
      <w:r>
        <w:rPr>
          <w:rStyle w:val="Literaturverweis"/>
        </w:rPr>
        <w:t xml:space="preserve">]</w:t>
      </w:r>
      <w:r>
        <w:rPr/>
        <w:t xml:space="preserve">.</w:t>
      </w:r>
    </w:p>
    <w:p>
      <w:pPr>
        <w:pStyle w:val="berschrift3"/>
        <w:rPr/>
      </w:pPr>
      <w:bookmarkStart w:id="10351" w:name="ID0EM1AE"/>
      <w:bookmarkEnd w:id="10351"/>
      <w:r>
        <w:rPr/>
        <w:t xml:space="preserve">Evaluation des Ansprechens, Verlauf</w:t>
      </w:r>
    </w:p>
    <w:p>
      <w:pPr>
        <w:pStyle w:val="Standard"/>
        <w:rPr/>
      </w:pPr>
      <w:bookmarkStart w:id="10352" w:name="ID0ER1AE"/>
      <w:bookmarkEnd w:id="10352"/>
      <w:r>
        <w:rPr/>
        <w:t xml:space="preserve">Unter Therapie mit ATG sollten täglich Thrombozyten, zweimal wöchentlich Differentialblutbild und Gerinnung, ggf. Ciclosporinspiegel bestimmt werden. Danach in der Regenerationsphase ein- bis zweiwöchentliche Blutbildkontrollen.</w:t>
      </w:r>
    </w:p>
    <w:p>
      <w:pPr>
        <w:pStyle w:val="Standard"/>
        <w:rPr/>
      </w:pPr>
      <w:bookmarkStart w:id="10353" w:name="ID0ET1AE"/>
      <w:bookmarkEnd w:id="10353"/>
      <w:r>
        <w:rPr/>
        <w:t xml:space="preserve">Statuskontrollen, Zellzählung, Differentialblutbild einmal pro Monat. Knochenmarkuntersuchung jährlich oder bei auffälligen Blutbildveränderungen.</w:t>
      </w:r>
    </w:p>
    <w:p>
      <w:pPr>
        <w:pStyle w:val="Standard"/>
        <w:rPr/>
      </w:pPr>
      <w:bookmarkStart w:id="10354" w:name="ID0EV1AE"/>
      <w:bookmarkEnd w:id="10354"/>
      <w:r>
        <w:rPr/>
        <w:t xml:space="preserve">Das Ansprechen auf immunsuppressive Therapie tritt verzögert ein, im Median dauert es 3-4 Monate </w:t>
      </w:r>
      <w:r>
        <w:rPr>
          <w:rStyle w:val="Literaturverweis"/>
        </w:rPr>
        <w:t xml:space="preserve">[</w:t>
      </w:r>
      <w:hyperlink w:anchor="litID0EGDBG" w:history="1">
        <w:r>
          <w:rPr>
            <w:rStyle w:val="Literaturverweis"/>
          </w:rPr>
          <w:t xml:space="preserve">60</w:t>
        </w:r>
      </w:hyperlink>
      <w:r>
        <w:rPr>
          <w:rStyle w:val="Literaturverweis"/>
        </w:rPr>
        <w:t xml:space="preserve">,</w:t>
      </w:r>
      <w:hyperlink w:anchor="litID0ERDBG" w:history="1">
        <w:r>
          <w:rPr>
            <w:rStyle w:val="Literaturverweis"/>
          </w:rPr>
          <w:t xml:space="preserve">61</w:t>
        </w:r>
      </w:hyperlink>
      <w:r>
        <w:rPr>
          <w:rStyle w:val="Literaturverweis"/>
        </w:rPr>
        <w:t xml:space="preserve">,</w:t>
      </w:r>
      <w:hyperlink w:anchor="litID0EDEBG" w:history="1">
        <w:r>
          <w:rPr>
            <w:rStyle w:val="Literaturverweis"/>
          </w:rPr>
          <w:t xml:space="preserve">62</w:t>
        </w:r>
      </w:hyperlink>
      <w:r>
        <w:rPr>
          <w:rStyle w:val="Literaturverweis"/>
        </w:rPr>
        <w:t xml:space="preserve">,</w:t>
      </w:r>
      <w:hyperlink w:anchor="litID0EWEBG" w:history="1">
        <w:r>
          <w:rPr>
            <w:rStyle w:val="Literaturverweis"/>
          </w:rPr>
          <w:t xml:space="preserve">63</w:t>
        </w:r>
      </w:hyperlink>
      <w:r>
        <w:rPr>
          <w:rStyle w:val="Literaturverweis"/>
        </w:rPr>
        <w:t xml:space="preserve">,</w:t>
      </w:r>
      <w:hyperlink w:anchor="litID0EIFBG" w:history="1">
        <w:r>
          <w:rPr>
            <w:rStyle w:val="Literaturverweis"/>
          </w:rPr>
          <w:t xml:space="preserve">64</w:t>
        </w:r>
      </w:hyperlink>
      <w:r>
        <w:rPr>
          <w:rStyle w:val="Literaturverweis"/>
        </w:rPr>
        <w:t xml:space="preserve">,</w:t>
      </w:r>
      <w:hyperlink w:anchor="litID0E1FBG" w:history="1">
        <w:r>
          <w:rPr>
            <w:rStyle w:val="Literaturverweis"/>
          </w:rPr>
          <w:t xml:space="preserve">65</w:t>
        </w:r>
      </w:hyperlink>
      <w:r>
        <w:rPr>
          <w:rStyle w:val="Literaturverweis"/>
        </w:rPr>
        <w:t xml:space="preserve">,</w:t>
      </w:r>
      <w:hyperlink w:anchor="litID0EMGBG" w:history="1">
        <w:r>
          <w:rPr>
            <w:rStyle w:val="Literaturverweis"/>
          </w:rPr>
          <w:t xml:space="preserve">66</w:t>
        </w:r>
      </w:hyperlink>
      <w:r>
        <w:rPr>
          <w:rStyle w:val="Literaturverweis"/>
        </w:rPr>
        <w:t xml:space="preserve">,</w:t>
      </w:r>
      <w:hyperlink w:anchor="litID0EYGBG" w:history="1">
        <w:r>
          <w:rPr>
            <w:rStyle w:val="Literaturverweis"/>
          </w:rPr>
          <w:t xml:space="preserve">67</w:t>
        </w:r>
      </w:hyperlink>
      <w:r>
        <w:rPr>
          <w:rStyle w:val="Literaturverweis"/>
        </w:rPr>
        <w:t xml:space="preserve">,</w:t>
      </w:r>
      <w:hyperlink w:anchor="litID0EEHBG" w:history="1">
        <w:r>
          <w:rPr>
            <w:rStyle w:val="Literaturverweis"/>
          </w:rPr>
          <w:t xml:space="preserve">68</w:t>
        </w:r>
      </w:hyperlink>
      <w:r>
        <w:rPr>
          <w:rStyle w:val="Literaturverweis"/>
        </w:rPr>
        <w:t xml:space="preserve">,</w:t>
      </w:r>
      <w:hyperlink w:anchor="litID0E3HBG" w:history="1">
        <w:r>
          <w:rPr>
            <w:rStyle w:val="Literaturverweis"/>
          </w:rPr>
          <w:t xml:space="preserve">69</w:t>
        </w:r>
      </w:hyperlink>
      <w:r>
        <w:rPr>
          <w:rStyle w:val="Literaturverweis"/>
        </w:rPr>
        <w:t xml:space="preserve">]</w:t>
      </w:r>
      <w:r>
        <w:rPr/>
        <w:t xml:space="preserve">. Die Bewertung des Therapieerfolgs erfolgt in der Regel nach vier Monaten </w:t>
      </w:r>
      <w:r>
        <w:rPr>
          <w:rStyle w:val="Literaturverweis"/>
        </w:rPr>
        <w:t xml:space="preserve">[</w:t>
      </w:r>
      <w:hyperlink w:anchor="litID0EBOBG" w:history="1">
        <w:r>
          <w:rPr>
            <w:rStyle w:val="Literaturverweis"/>
          </w:rPr>
          <w:t xml:space="preserve">83</w:t>
        </w:r>
      </w:hyperlink>
      <w:r>
        <w:rPr>
          <w:rStyle w:val="Literaturverweis"/>
        </w:rPr>
        <w:t xml:space="preserve">]</w:t>
      </w:r>
      <w:r>
        <w:rPr/>
        <w:t xml:space="preserve">. Häufig wird keine vollständige Normalisierung der peripheren Blutwerte erreicht </w:t>
      </w:r>
      <w:r>
        <w:rPr>
          <w:rStyle w:val="Literaturverweis"/>
        </w:rPr>
        <w:t xml:space="preserve">[</w:t>
      </w:r>
      <w:hyperlink w:anchor="litID0ENOBG" w:history="1">
        <w:r>
          <w:rPr>
            <w:rStyle w:val="Literaturverweis"/>
          </w:rPr>
          <w:t xml:space="preserve">84</w:t>
        </w:r>
      </w:hyperlink>
      <w:r>
        <w:rPr>
          <w:rStyle w:val="Literaturverweis"/>
        </w:rPr>
        <w:t xml:space="preserve">]</w:t>
      </w:r>
      <w:r>
        <w:rPr/>
        <w:t xml:space="preserve">.</w:t>
      </w:r>
    </w:p>
    <w:p>
      <w:pPr>
        <w:pStyle w:val="Standard"/>
        <w:rPr/>
      </w:pPr>
      <w:bookmarkStart w:id="10367" w:name="ID0EZ2AE"/>
      <w:bookmarkEnd w:id="10367"/>
      <w:r>
        <w:rPr/>
        <w:t xml:space="preserve">Die Rezidivrate nach erfolgreicher Therapie beträgt 30% - 40% </w:t>
      </w:r>
      <w:r>
        <w:rPr>
          <w:rStyle w:val="Literaturverweis"/>
        </w:rPr>
        <w:t xml:space="preserve">[</w:t>
      </w:r>
      <w:hyperlink w:anchor="litID0EZOBG" w:history="1">
        <w:r>
          <w:rPr>
            <w:rStyle w:val="Literaturverweis"/>
          </w:rPr>
          <w:t xml:space="preserve">85</w:t>
        </w:r>
      </w:hyperlink>
      <w:r>
        <w:rPr>
          <w:rStyle w:val="Literaturverweis"/>
        </w:rPr>
        <w:t xml:space="preserve">,</w:t>
      </w:r>
      <w:hyperlink w:anchor="litID0EFPBG" w:history="1">
        <w:r>
          <w:rPr>
            <w:rStyle w:val="Literaturverweis"/>
          </w:rPr>
          <w:t xml:space="preserve">86</w:t>
        </w:r>
      </w:hyperlink>
      <w:r>
        <w:rPr>
          <w:rStyle w:val="Literaturverweis"/>
        </w:rPr>
        <w:t xml:space="preserve">]</w:t>
      </w:r>
      <w:r>
        <w:rPr/>
        <w:t xml:space="preserve">. Es besteht bei den Patienten ein erhöhtes Risiko für das Auftreten von MDS, AML und klinisch symptomatischer PNH sowie von soliden Tumoren </w:t>
      </w:r>
      <w:r>
        <w:rPr>
          <w:rStyle w:val="Literaturverweis"/>
        </w:rPr>
        <w:t xml:space="preserve">[</w:t>
      </w:r>
      <w:hyperlink w:anchor="litID0EYPBG" w:history="1">
        <w:r>
          <w:rPr>
            <w:rStyle w:val="Literaturverweis"/>
          </w:rPr>
          <w:t xml:space="preserve">87</w:t>
        </w:r>
      </w:hyperlink>
      <w:r>
        <w:rPr>
          <w:rStyle w:val="Literaturverweis"/>
        </w:rPr>
        <w:t xml:space="preserve">,</w:t>
      </w:r>
      <w:hyperlink w:anchor="litID0EDQBG" w:history="1">
        <w:r>
          <w:rPr>
            <w:rStyle w:val="Literaturverweis"/>
          </w:rPr>
          <w:t xml:space="preserve">88</w:t>
        </w:r>
      </w:hyperlink>
      <w:r>
        <w:rPr>
          <w:rStyle w:val="Literaturverweis"/>
        </w:rPr>
        <w:t xml:space="preserve">,</w:t>
      </w:r>
      <w:hyperlink w:anchor="litID0EWQBG" w:history="1">
        <w:r>
          <w:rPr>
            <w:rStyle w:val="Literaturverweis"/>
          </w:rPr>
          <w:t xml:space="preserve">89</w:t>
        </w:r>
      </w:hyperlink>
      <w:r>
        <w:rPr>
          <w:rStyle w:val="Literaturverweis"/>
        </w:rPr>
        <w:t xml:space="preserve">]</w:t>
      </w:r>
      <w:r>
        <w:rPr/>
        <w:t xml:space="preserve">.</w:t>
      </w:r>
    </w:p>
    <w:p>
      <w:pPr>
        <w:pStyle w:val="berschrift3"/>
        <w:rPr/>
      </w:pPr>
      <w:bookmarkStart w:id="10373" w:name="ID0EO3AE"/>
      <w:bookmarkEnd w:id="10373"/>
      <w:r>
        <w:rPr/>
        <w:t xml:space="preserve">Wiederholung der ATG-Therapie</w:t>
      </w:r>
    </w:p>
    <w:p>
      <w:pPr>
        <w:pStyle w:val="Standard"/>
        <w:rPr/>
      </w:pPr>
      <w:bookmarkStart w:id="10374" w:name="ID0ET3AE"/>
      <w:bookmarkEnd w:id="10374"/>
      <w:r>
        <w:rPr/>
        <w:t xml:space="preserve">Eine Wiederholung der Triple-Immunsuppression ist möglich. Bei Rezidiven ist die Chance auf erneutes Ansprechen hoch </w:t>
      </w:r>
      <w:r>
        <w:rPr>
          <w:rStyle w:val="Literaturverweis"/>
        </w:rPr>
        <w:t xml:space="preserve">[</w:t>
      </w:r>
      <w:hyperlink w:anchor="litID0EZOBG" w:history="1">
        <w:r>
          <w:rPr>
            <w:rStyle w:val="Literaturverweis"/>
          </w:rPr>
          <w:t xml:space="preserve">85</w:t>
        </w:r>
      </w:hyperlink>
      <w:r>
        <w:rPr>
          <w:rStyle w:val="Literaturverweis"/>
        </w:rPr>
        <w:t xml:space="preserve">,</w:t>
      </w:r>
      <w:hyperlink w:anchor="litID0EJRBG" w:history="1">
        <w:r>
          <w:rPr>
            <w:rStyle w:val="Literaturverweis"/>
          </w:rPr>
          <w:t xml:space="preserve">90</w:t>
        </w:r>
      </w:hyperlink>
      <w:r>
        <w:rPr>
          <w:rStyle w:val="Literaturverweis"/>
        </w:rPr>
        <w:t xml:space="preserve">]</w:t>
      </w:r>
      <w:r>
        <w:rPr/>
        <w:t xml:space="preserve">. Bei Versagen der ersten Therapie kann ein zweiter Kurs Immunsuppression durchgeführt werden, welcher bei 30-60% der Patienten noch ein Ansprechen induzieren kann </w:t>
      </w:r>
      <w:r>
        <w:rPr>
          <w:rStyle w:val="Literaturverweis"/>
        </w:rPr>
        <w:t xml:space="preserve">[</w:t>
      </w:r>
      <w:hyperlink w:anchor="litID0EJRBG" w:history="1">
        <w:r>
          <w:rPr>
            <w:rStyle w:val="Literaturverweis"/>
          </w:rPr>
          <w:t xml:space="preserve">90</w:t>
        </w:r>
      </w:hyperlink>
      <w:r>
        <w:rPr>
          <w:rStyle w:val="Literaturverweis"/>
        </w:rPr>
        <w:t xml:space="preserve">,</w:t>
      </w:r>
      <w:hyperlink w:anchor="litID0E3RBG" w:history="1">
        <w:r>
          <w:rPr>
            <w:rStyle w:val="Literaturverweis"/>
          </w:rPr>
          <w:t xml:space="preserve">91</w:t>
        </w:r>
      </w:hyperlink>
      <w:r>
        <w:rPr>
          <w:rStyle w:val="Literaturverweis"/>
        </w:rPr>
        <w:t xml:space="preserve">,</w:t>
      </w:r>
      <w:hyperlink w:anchor="litID0EOSBG" w:history="1">
        <w:r>
          <w:rPr>
            <w:rStyle w:val="Literaturverweis"/>
          </w:rPr>
          <w:t xml:space="preserve">92</w:t>
        </w:r>
      </w:hyperlink>
      <w:r>
        <w:rPr>
          <w:rStyle w:val="Literaturverweis"/>
        </w:rPr>
        <w:t xml:space="preserve">]</w:t>
      </w:r>
      <w:r>
        <w:rPr/>
        <w:t xml:space="preserve">. Es gibt keine eindeutigen Daten, dass ein Wechsel des ATG Präparates die Ansprech-</w:t>
      </w:r>
    </w:p>
    <w:p>
      <w:pPr>
        <w:pStyle w:val="Standard"/>
        <w:rPr/>
      </w:pPr>
      <w:bookmarkStart w:id="10380" w:name="ID0EG4AE"/>
      <w:bookmarkEnd w:id="10380"/>
      <w:r>
        <w:rPr/>
        <w:t xml:space="preserve">rate einer Wiederholungstherapie verbessert </w:t>
      </w:r>
      <w:r>
        <w:rPr>
          <w:rStyle w:val="Literaturverweis"/>
        </w:rPr>
        <w:t xml:space="preserve">[</w:t>
      </w:r>
      <w:hyperlink w:anchor="litID0EBTBG" w:history="1">
        <w:r>
          <w:rPr>
            <w:rStyle w:val="Literaturverweis"/>
          </w:rPr>
          <w:t xml:space="preserve">93</w:t>
        </w:r>
      </w:hyperlink>
      <w:r>
        <w:rPr>
          <w:rStyle w:val="Literaturverweis"/>
        </w:rPr>
        <w:t xml:space="preserve">]</w:t>
      </w:r>
      <w:r>
        <w:rPr/>
        <w:t xml:space="preserve">. Allein im Hinblick auf eine Serumkrankheit ist jedoch bei Therapiewiederholung der Wechsel auf ein Präparat aus einer anderen Spezies üblich. Wurde in der Primärtherapie Kaninchen-ATG verwendet und stellt ein Nichtansprechen auf die Ersttherapie die Indikation für die Wiederholungstherapie dar, sollte auf Pferde-ATG gewechselt werden (siehe oben; Daten zu insgesamt besserer Ansprechrate mit Pferde-ATG).</w:t>
      </w:r>
    </w:p>
    <w:p>
      <w:pPr>
        <w:pStyle w:val="Standard"/>
        <w:rPr/>
      </w:pPr>
      <w:bookmarkStart w:id="10382" w:name="ID0EO4AE"/>
      <w:bookmarkEnd w:id="10382"/>
      <w:r>
        <w:rPr/>
        <w:t xml:space="preserve">Ein direkter prospektiver Vergleich eines zweiten ATG-Zyklus mit unverwandter Transplantation bei Kindern, welche auf die erste ATG-Therapie nicht angesprochen hatten, zeigte ein Ansprechrate auf die ATG-Therapie von lediglich 11% und bessere Überlebenswahrscheinlich mit unverwandter Transplantation </w:t>
      </w:r>
      <w:r>
        <w:rPr>
          <w:rStyle w:val="Literaturverweis"/>
        </w:rPr>
        <w:t xml:space="preserve">[</w:t>
      </w:r>
      <w:hyperlink w:anchor="litID0EHTBG" w:history="1">
        <w:r>
          <w:rPr>
            <w:rStyle w:val="Literaturverweis"/>
          </w:rPr>
          <w:t xml:space="preserve">94</w:t>
        </w:r>
      </w:hyperlink>
      <w:r>
        <w:rPr>
          <w:rStyle w:val="Literaturverweis"/>
        </w:rPr>
        <w:t xml:space="preserve">]</w:t>
      </w:r>
      <w:r>
        <w:rPr/>
        <w:t xml:space="preserve">.</w:t>
      </w:r>
    </w:p>
    <w:p>
      <w:pPr>
        <w:pStyle w:val="Standard"/>
        <w:rPr/>
      </w:pPr>
      <w:bookmarkStart w:id="10384" w:name="ID0EW4AE"/>
      <w:bookmarkEnd w:id="10384"/>
      <w:r>
        <w:rPr/>
        <w:t xml:space="preserve">Ein dritter Zyklus kann bei Patienten mit Rezidiv sinnvoll sein. Dagegen wird von einem 3.Zyklus ATG-Therapie bei Nichtansprechen auf 2 vorangegangene Zyklen abgeraten, da die Ansprechraten dann sehr gering sind </w:t>
      </w:r>
      <w:r>
        <w:rPr>
          <w:rStyle w:val="Literaturverweis"/>
        </w:rPr>
        <w:t xml:space="preserve">[</w:t>
      </w:r>
      <w:hyperlink w:anchor="litID0EZTBG" w:history="1">
        <w:r>
          <w:rPr>
            <w:rStyle w:val="Literaturverweis"/>
          </w:rPr>
          <w:t xml:space="preserve">95</w:t>
        </w:r>
      </w:hyperlink>
      <w:r>
        <w:rPr>
          <w:rStyle w:val="Literaturverweis"/>
        </w:rPr>
        <w:t xml:space="preserve">]</w:t>
      </w:r>
      <w:r>
        <w:rPr/>
        <w:t xml:space="preserve">.</w:t>
      </w:r>
    </w:p>
    <w:p>
      <w:pPr>
        <w:pStyle w:val="berschrift2"/>
        <w:rPr/>
      </w:pPr>
      <w:bookmarkStart w:id="10386" w:name="ID0EA5AE"/>
      <w:bookmarkEnd w:id="10386"/>
      <w:r>
        <w:rPr/>
        <w:t xml:space="preserve">Zweitlinientherapie</w:t>
      </w:r>
    </w:p>
    <w:p>
      <w:pPr>
        <w:pStyle w:val="Listeneinfhrung"/>
        <w:rPr/>
      </w:pPr>
      <w:bookmarkStart w:id="10387" w:name="ID0EF5AE"/>
      <w:bookmarkEnd w:id="10387"/>
      <w:r>
        <w:rPr/>
        <w:t xml:space="preserve">Bei Versagen der Erstlinientherapie mit Triple-Immunsuppression kommen folgende Therapien in Frage (siehe </w:t>
      </w:r>
      <w:hyperlink w:anchor="ID0EOKAC" w:history="1">
        <w:r>
          <w:rPr>
            <w:rStyle w:val="Hyperlink"/>
          </w:rPr>
          <w:t xml:space="preserve">Abbildung 1</w:t>
        </w:r>
      </w:hyperlink>
      <w:r>
        <w:rPr/>
        <w:t xml:space="preserve">):</w:t>
      </w:r>
    </w:p>
    <w:p>
      <w:pPr>
        <w:pStyle w:val="Liste1"/>
        <w:numPr>
          <w:ilvl w:val="0"/>
          <w:numId w:val="60"/>
        </w:numPr>
        <w:rPr/>
      </w:pPr>
      <w:bookmarkStart w:id="10389" w:name="ID0ES5AE"/>
      <w:bookmarkEnd w:id="10389"/>
      <w:r>
        <w:rPr/>
        <w:t xml:space="preserve">Stammzell-Transplantation  von  HLA-identem  Geschwisterspender  (siehe Abschnitt Abschnitt </w:t>
      </w:r>
      <w:hyperlink w:anchor="ID0E3JAC" w:history="1">
        <w:r>
          <w:rPr>
            <w:rStyle w:val="Hyperlink"/>
          </w:rPr>
          <w:t xml:space="preserve">5.1</w:t>
        </w:r>
      </w:hyperlink>
      <w:r>
        <w:rPr/>
        <w:t xml:space="preserve">)</w:t>
      </w:r>
    </w:p>
    <w:p>
      <w:pPr>
        <w:pStyle w:val="Liste1"/>
        <w:numPr>
          <w:ilvl w:val="0"/>
          <w:numId w:val="60"/>
        </w:numPr>
        <w:rPr/>
      </w:pPr>
      <w:bookmarkStart w:id="10391" w:name="ID0E55AE"/>
      <w:bookmarkEnd w:id="10391"/>
      <w:r>
        <w:rPr/>
        <w:t xml:space="preserve">Stammzell-Transplantation von unverwandtem Spender (siehe Abschnitt Abschnitt </w:t>
      </w:r>
      <w:hyperlink w:anchor="ID0E2LAC" w:history="1">
        <w:r>
          <w:rPr>
            <w:rStyle w:val="Hyperlink"/>
          </w:rPr>
          <w:t xml:space="preserve">5.2</w:t>
        </w:r>
      </w:hyperlink>
      <w:r>
        <w:rPr/>
        <w:t xml:space="preserve">)</w:t>
      </w:r>
    </w:p>
    <w:p>
      <w:pPr>
        <w:pStyle w:val="Liste1"/>
        <w:numPr>
          <w:ilvl w:val="0"/>
          <w:numId w:val="60"/>
        </w:numPr>
        <w:rPr/>
      </w:pPr>
      <w:bookmarkStart w:id="10393" w:name="ID0EK6AE"/>
      <w:bookmarkEnd w:id="10393"/>
      <w:r>
        <w:rPr/>
        <w:t xml:space="preserve">Wiederholung der Immunsuppressiven Triple-Therapie (ggf. mit Wechsel des ATG-Präparates; siehe oben)</w:t>
      </w:r>
    </w:p>
    <w:p>
      <w:pPr>
        <w:pStyle w:val="Liste1"/>
        <w:numPr>
          <w:ilvl w:val="0"/>
          <w:numId w:val="60"/>
        </w:numPr>
        <w:rPr/>
      </w:pPr>
      <w:bookmarkStart w:id="10394" w:name="ID0EO6AE"/>
      <w:bookmarkEnd w:id="10394"/>
      <w:r>
        <w:rPr/>
        <w:t xml:space="preserve">alternative Immunsuppression: Alemtuzumab </w:t>
      </w:r>
      <w:r>
        <w:rPr>
          <w:rStyle w:val="Literaturverweis"/>
        </w:rPr>
        <w:t xml:space="preserve">[</w:t>
      </w:r>
      <w:hyperlink w:anchor="litID0ERUBG" w:history="1">
        <w:r>
          <w:rPr>
            <w:rStyle w:val="Literaturverweis"/>
          </w:rPr>
          <w:t xml:space="preserve">96</w:t>
        </w:r>
      </w:hyperlink>
      <w:r>
        <w:rPr>
          <w:rStyle w:val="Literaturverweis"/>
        </w:rPr>
        <w:t xml:space="preserve">,</w:t>
      </w:r>
      <w:hyperlink w:anchor="litID0EEVBG" w:history="1">
        <w:r>
          <w:rPr>
            <w:rStyle w:val="Literaturverweis"/>
          </w:rPr>
          <w:t xml:space="preserve">97</w:t>
        </w:r>
      </w:hyperlink>
      <w:r>
        <w:rPr>
          <w:rStyle w:val="Literaturverweis"/>
        </w:rPr>
        <w:t xml:space="preserve">]</w:t>
      </w:r>
      <w:r>
        <w:rPr/>
        <w:t xml:space="preserve"> oder Hochdosis-Cyclophosphamid </w:t>
      </w:r>
      <w:r>
        <w:rPr>
          <w:rStyle w:val="Literaturverweis"/>
        </w:rPr>
        <w:t xml:space="preserve">[</w:t>
      </w:r>
      <w:hyperlink w:anchor="litID0EYGBG" w:history="1">
        <w:r>
          <w:rPr>
            <w:rStyle w:val="Literaturverweis"/>
          </w:rPr>
          <w:t xml:space="preserve">67</w:t>
        </w:r>
      </w:hyperlink>
      <w:r>
        <w:rPr>
          <w:rStyle w:val="Literaturverweis"/>
        </w:rPr>
        <w:t xml:space="preserve">,</w:t>
      </w:r>
      <w:hyperlink w:anchor="litID0EWVBG" w:history="1">
        <w:r>
          <w:rPr>
            <w:rStyle w:val="Literaturverweis"/>
          </w:rPr>
          <w:t xml:space="preserve">98</w:t>
        </w:r>
      </w:hyperlink>
      <w:r>
        <w:rPr>
          <w:rStyle w:val="Literaturverweis"/>
        </w:rPr>
        <w:t xml:space="preserve">]</w:t>
      </w:r>
    </w:p>
    <w:p>
      <w:pPr>
        <w:pStyle w:val="Liste1"/>
        <w:numPr>
          <w:ilvl w:val="0"/>
          <w:numId w:val="60"/>
        </w:numPr>
        <w:rPr/>
      </w:pPr>
      <w:bookmarkStart w:id="10399" w:name="ID0EBAAG"/>
      <w:bookmarkEnd w:id="10399"/>
      <w:r>
        <w:rPr/>
        <w:t xml:space="preserve">bei Patienten mit kurzen Telomeren: (&lt; 1 % der altersadaptierten Telomerlänge) +/- zugrunde liegender Telomeropathie </w:t>
      </w:r>
      <w:r>
        <w:rPr>
          <w:rStyle w:val="Literaturverweis"/>
        </w:rPr>
        <w:t xml:space="preserve">[</w:t>
      </w:r>
      <w:hyperlink w:anchor="litID0EIWBG" w:history="1">
        <w:r>
          <w:rPr>
            <w:rStyle w:val="Literaturverweis"/>
          </w:rPr>
          <w:t xml:space="preserve">99</w:t>
        </w:r>
      </w:hyperlink>
      <w:r>
        <w:rPr>
          <w:rStyle w:val="Literaturverweis"/>
        </w:rPr>
        <w:t xml:space="preserve">,</w:t>
      </w:r>
      <w:hyperlink w:anchor="litID0EUWBG" w:history="1">
        <w:r>
          <w:rPr>
            <w:rStyle w:val="Literaturverweis"/>
          </w:rPr>
          <w:t xml:space="preserve">100</w:t>
        </w:r>
      </w:hyperlink>
      <w:r>
        <w:rPr>
          <w:rStyle w:val="Literaturverweis"/>
        </w:rPr>
        <w:t xml:space="preserve">]</w:t>
      </w:r>
      <w:r>
        <w:rPr/>
        <w:t xml:space="preserve"> oder bei Patienten, die für eine immunsuppressive Therapie und eine allogene Stammzelltransplantation nicht in Frage kommen, ist Androgentherapie, beispielsweise mit Danazol eine Alternative </w:t>
      </w:r>
      <w:r>
        <w:rPr>
          <w:rStyle w:val="Literaturverweis"/>
        </w:rPr>
        <w:t xml:space="preserve">[</w:t>
      </w:r>
      <w:hyperlink w:anchor="litID0EAXBG" w:history="1">
        <w:r>
          <w:rPr>
            <w:rStyle w:val="Literaturverweis"/>
          </w:rPr>
          <w:t xml:space="preserve">101</w:t>
        </w:r>
      </w:hyperlink>
      <w:r>
        <w:rPr>
          <w:rStyle w:val="Literaturverweis"/>
        </w:rPr>
        <w:t xml:space="preserve">,</w:t>
      </w:r>
      <w:hyperlink w:anchor="litID0ESXBG" w:history="1">
        <w:r>
          <w:rPr>
            <w:rStyle w:val="Literaturverweis"/>
          </w:rPr>
          <w:t xml:space="preserve">102</w:t>
        </w:r>
      </w:hyperlink>
      <w:r>
        <w:rPr>
          <w:rStyle w:val="Literaturverweis"/>
        </w:rPr>
        <w:t xml:space="preserve">]</w:t>
      </w:r>
      <w:r>
        <w:rPr/>
        <w:t xml:space="preserve">.</w:t>
      </w:r>
    </w:p>
    <w:p>
      <w:pPr>
        <w:pStyle w:val="Standard"/>
        <w:rPr/>
      </w:pPr>
      <w:bookmarkStart w:id="10404" w:name="ID0ETAAG"/>
      <w:bookmarkEnd w:id="10404"/>
      <w:r>
        <w:rPr/>
        <w:t xml:space="preserve">Alemtuzumab erreichte in einer randomisierten Studie in der Primärtherapie eine geringere Ansprechrate als ATG </w:t>
      </w:r>
      <w:r>
        <w:rPr>
          <w:rStyle w:val="Literaturverweis"/>
        </w:rPr>
        <w:t xml:space="preserve">[</w:t>
      </w:r>
      <w:hyperlink w:anchor="litID0ERUBG" w:history="1">
        <w:r>
          <w:rPr>
            <w:rStyle w:val="Literaturverweis"/>
          </w:rPr>
          <w:t xml:space="preserve">96</w:t>
        </w:r>
      </w:hyperlink>
      <w:r>
        <w:rPr>
          <w:rStyle w:val="Literaturverweis"/>
        </w:rPr>
        <w:t xml:space="preserve">]</w:t>
      </w:r>
      <w:r>
        <w:rPr/>
        <w:t xml:space="preserve">. Bei Patienten mit refraktärer Erkrankung wurden jedoch Ansprechraten von 37%-48% berichtet </w:t>
      </w:r>
      <w:r>
        <w:rPr>
          <w:rStyle w:val="Literaturverweis"/>
        </w:rPr>
        <w:t xml:space="preserve">[</w:t>
      </w:r>
      <w:hyperlink w:anchor="litID0ERUBG" w:history="1">
        <w:r>
          <w:rPr>
            <w:rStyle w:val="Literaturverweis"/>
          </w:rPr>
          <w:t xml:space="preserve">96</w:t>
        </w:r>
      </w:hyperlink>
      <w:r>
        <w:rPr>
          <w:rStyle w:val="Literaturverweis"/>
        </w:rPr>
        <w:t xml:space="preserve">]</w:t>
      </w:r>
      <w:r>
        <w:rPr/>
        <w:t xml:space="preserve">.</w:t>
      </w:r>
    </w:p>
    <w:p>
      <w:pPr>
        <w:pStyle w:val="Standard"/>
        <w:rPr/>
      </w:pPr>
      <w:bookmarkStart w:id="10407" w:name="ID0EABAG"/>
      <w:bookmarkEnd w:id="10407"/>
      <w:r>
        <w:rPr/>
        <w:t xml:space="preserve">Die Hochdosis-Cyclophosphamid-Therapie ist sehr umstritten. Positiven Berichten </w:t>
      </w:r>
      <w:r>
        <w:rPr>
          <w:rStyle w:val="Literaturverweis"/>
        </w:rPr>
        <w:t xml:space="preserve">[</w:t>
      </w:r>
      <w:hyperlink w:anchor="litID0E5XBG" w:history="1">
        <w:r>
          <w:rPr>
            <w:rStyle w:val="Literaturverweis"/>
          </w:rPr>
          <w:t xml:space="preserve">103</w:t>
        </w:r>
      </w:hyperlink>
      <w:r>
        <w:rPr>
          <w:rStyle w:val="Literaturverweis"/>
        </w:rPr>
        <w:t xml:space="preserve">,</w:t>
      </w:r>
      <w:hyperlink w:anchor="litID0EKYBG" w:history="1">
        <w:r>
          <w:rPr>
            <w:rStyle w:val="Literaturverweis"/>
          </w:rPr>
          <w:t xml:space="preserve">104</w:t>
        </w:r>
      </w:hyperlink>
      <w:r>
        <w:rPr>
          <w:rStyle w:val="Literaturverweis"/>
        </w:rPr>
        <w:t xml:space="preserve">]</w:t>
      </w:r>
      <w:r>
        <w:rPr/>
        <w:t xml:space="preserve"> steht eine klinische Studie gegenüber, welche wegen hoher Toxizität im Hochdosis-Cyclophosphamid-Arm vorzeitig abgebrochen wurde </w:t>
      </w:r>
      <w:r>
        <w:rPr>
          <w:rStyle w:val="Literaturverweis"/>
        </w:rPr>
        <w:t xml:space="preserve">[</w:t>
      </w:r>
      <w:hyperlink w:anchor="litID0EYGBG" w:history="1">
        <w:r>
          <w:rPr>
            <w:rStyle w:val="Literaturverweis"/>
          </w:rPr>
          <w:t xml:space="preserve">67</w:t>
        </w:r>
      </w:hyperlink>
      <w:r>
        <w:rPr>
          <w:rStyle w:val="Literaturverweis"/>
        </w:rPr>
        <w:t xml:space="preserve">,</w:t>
      </w:r>
      <w:hyperlink w:anchor="litID0EWVBG" w:history="1">
        <w:r>
          <w:rPr>
            <w:rStyle w:val="Literaturverweis"/>
          </w:rPr>
          <w:t xml:space="preserve">98</w:t>
        </w:r>
      </w:hyperlink>
      <w:r>
        <w:rPr>
          <w:rStyle w:val="Literaturverweis"/>
        </w:rPr>
        <w:t xml:space="preserve">]</w:t>
      </w:r>
      <w:r>
        <w:rPr/>
        <w:t xml:space="preserve">.</w:t>
      </w:r>
    </w:p>
    <w:p>
      <w:pPr>
        <w:pStyle w:val="Standard"/>
        <w:rPr/>
      </w:pPr>
      <w:bookmarkStart w:id="10412" w:name="ID0ERBAG"/>
      <w:bookmarkEnd w:id="10412"/>
      <w:r>
        <w:rPr/>
        <w:t xml:space="preserve">Patienten, welche auf mindestens eine Standard-Triple-Immunsuppression angesprochen haben oder rezidiviert sind und nicht eindeutig für eine allogene Stammzelltransplantation in Frage kommen, sollten spätestens zu diesem Zeitpunkt in einem spezialisierten Zentrum vorgestellt werden, um auch experimentelle Immunsuppressions-Protokolle oder Transplantationsprotokolle (Haploidente Transplantation; Nabelschnurbluttransplantation) </w:t>
      </w:r>
      <w:r>
        <w:rPr>
          <w:rStyle w:val="Literaturverweis"/>
        </w:rPr>
        <w:t xml:space="preserve">[</w:t>
      </w:r>
      <w:hyperlink w:anchor="litID0EXYBG" w:history="1">
        <w:r>
          <w:rPr>
            <w:rStyle w:val="Literaturverweis"/>
          </w:rPr>
          <w:t xml:space="preserve">105</w:t>
        </w:r>
      </w:hyperlink>
      <w:r>
        <w:rPr>
          <w:rStyle w:val="Literaturverweis"/>
        </w:rPr>
        <w:t xml:space="preserve">]</w:t>
      </w:r>
      <w:r>
        <w:rPr/>
        <w:t xml:space="preserve"> in die Entscheidungsfindung einzubeziehen. Diese Protokolle werden in der Regel aufgrund der Seltenheit der Erkrankung in europaweiter Kooperation durchgeführt werden. Information zu aktuellen Therapiestudien der EBMT finden sich unter </w:t>
      </w:r>
      <w:hyperlink r:id="rIdex_ID0EHDAG">
        <w:r>
          <w:rPr>
            <w:rStyle w:val="Hyperlink"/>
          </w:rPr>
          <w:t xml:space="preserve">www.ebmt.org </w:t>
        </w:r>
      </w:hyperlink>
      <w:r>
        <w:rPr/>
        <w:t xml:space="preserve">.</w:t>
      </w:r>
    </w:p>
    <w:p>
      <w:pPr>
        <w:pStyle w:val="Standard"/>
        <w:rPr/>
      </w:pPr>
      <w:bookmarkStart w:id="10415" w:name="ID0EACAG"/>
      <w:bookmarkEnd w:id="10415"/>
      <w:r>
        <w:rPr/>
        <w:t xml:space="preserve">In einem europäischen Register der EBMT (Working Party Aplastic Anemia) erfolgen Analysen zur Therapieoptimierung bei dieser seltenen Erkrankung. Eine Teilnahme an diesem Register, welche Patienten unabhängig von der Therapieform erfasst, ist zu empfehlen.</w:t>
      </w:r>
    </w:p>
    <w:p>
      <w:pPr>
        <w:pStyle w:val="berschrift1"/>
        <w:rPr/>
      </w:pPr>
      <w:bookmarkStart w:id="10416" w:name="ID0EECAG"/>
      <w:bookmarkEnd w:id="10416"/>
      <w:r>
        <w:rPr/>
        <w:t xml:space="preserve">[Kapitel nicht relevant]</w:t>
      </w:r>
    </w:p>
    <w:p>
      <w:pPr>
        <w:pStyle w:val="berschrift1"/>
        <w:rPr/>
      </w:pPr>
      <w:bookmarkStart w:id="10417" w:name="ID0EJCAG"/>
      <w:bookmarkEnd w:id="10417"/>
      <w:r>
        <w:rPr/>
        <w:t xml:space="preserve">[Kapitel nicht relevant]</w:t>
      </w:r>
    </w:p>
    <w:p>
      <w:pPr>
        <w:pStyle w:val="berschrift1"/>
        <w:rPr/>
      </w:pPr>
      <w:bookmarkStart w:id="10418" w:name="ID0EOCAG"/>
      <w:bookmarkEnd w:id="10418"/>
      <w:r>
        <w:rPr/>
        <w:t xml:space="preserve">[Kapitel nicht relevant]</w:t>
      </w:r>
    </w:p>
    <w:p>
      <w:pPr>
        <w:pStyle w:val="berschrift1"/>
        <w:rPr/>
      </w:pPr>
      <w:bookmarkStart w:id="10419" w:name="head-references"/>
      <w:bookmarkEnd w:id="10419"/>
      <w:r>
        <w:rPr/>
        <w:t xml:space="preserve">Literatur</w:t>
      </w:r>
    </w:p>
    <w:p>
      <w:pPr>
        <w:pStyle w:val="Literaturverzeichnis"/>
        <w:numPr>
          <w:ilvl w:val="0"/>
          <w:numId w:val="61"/>
        </w:numPr>
        <w:rPr/>
      </w:pPr>
      <w:bookmarkStart w:id="10420" w:name="litID0ERFAG"/>
      <w:bookmarkEnd w:id="10420"/>
      <w:r>
        <w:rPr/>
        <w:t xml:space="preserve">1.</w:t>
      </w:r>
      <w:r>
        <w:rPr>
          <w:rStyle w:val="Absatz-Standardschriftart"/>
        </w:rPr>
        <w:tab/>
      </w:r>
      <w:r>
        <w:rPr/>
        <w:t xml:space="preserve">Schrezenmeier H and Bacigalupo A (Eds.): Aplastic Anemia-Pathophysiology and Treatment. Cambridge University Press 2000. ISBN 0 521 64101 2</w:t>
      </w:r>
    </w:p>
    <w:p>
      <w:pPr>
        <w:pStyle w:val="Literaturverzeichnis"/>
        <w:numPr>
          <w:ilvl w:val="0"/>
          <w:numId w:val="61"/>
        </w:numPr>
        <w:rPr/>
      </w:pPr>
      <w:bookmarkStart w:id="10421" w:name="litID0E1FAG"/>
      <w:bookmarkEnd w:id="10421"/>
      <w:r>
        <w:rPr/>
        <w:t xml:space="preserve">Heimpel H: Epidemiology and etiology of aplastic anemia. In Aplastic Anemia-Pathophysiology and Treatment. Cambridge University Press 97-116, 2000. ISBN 0 521 64101 2</w:t>
      </w:r>
    </w:p>
    <w:p>
      <w:pPr>
        <w:pStyle w:val="Literaturverzeichnis"/>
        <w:numPr>
          <w:ilvl w:val="0"/>
          <w:numId w:val="61"/>
        </w:numPr>
        <w:rPr/>
      </w:pPr>
      <w:bookmarkStart w:id="10422" w:name="litID0EAGAG"/>
      <w:bookmarkEnd w:id="10422"/>
      <w:r>
        <w:rPr/>
        <w:t xml:space="preserve">Rauff, B, Idrees, M., Shah, S et al.: Hepatitis associated aplastic anemia: a review. Virol J. 2011; </w:t>
      </w:r>
      <w:r>
        <w:rPr>
          <w:rStyle w:val="Absatz-Standardschriftart"/>
          <w:b/>
        </w:rPr>
        <w:t xml:space="preserve">8 </w:t>
      </w:r>
      <w:r>
        <w:rPr/>
        <w:t xml:space="preserve">:87, 2011. </w:t>
      </w:r>
      <w:hyperlink r:id="rIdex_ID0E6EAG">
        <w:r>
          <w:rPr>
            <w:rStyle w:val="Hyperlink"/>
          </w:rPr>
          <w:t xml:space="preserve">DOI :10.1186/1743-422X-8-87</w:t>
        </w:r>
      </w:hyperlink>
    </w:p>
    <w:p>
      <w:pPr>
        <w:pStyle w:val="Literaturverzeichnis"/>
        <w:numPr>
          <w:ilvl w:val="0"/>
          <w:numId w:val="61"/>
        </w:numPr>
        <w:rPr/>
      </w:pPr>
      <w:bookmarkStart w:id="10424" w:name="litID0EOGAG"/>
      <w:bookmarkEnd w:id="10424"/>
      <w:r>
        <w:rPr/>
        <w:t xml:space="preserve">Dokal I, Vulliamy T. Inherited bone marrow failure syndromes. Haematologica 95: 1236-1240, 2010. </w:t>
      </w:r>
      <w:hyperlink r:id="rIdex_ID0EJFAG">
        <w:r>
          <w:rPr>
            <w:rStyle w:val="Hyperlink"/>
          </w:rPr>
          <w:t xml:space="preserve">DOI: 10.3324/haematol.2010.025619</w:t>
        </w:r>
      </w:hyperlink>
    </w:p>
    <w:p>
      <w:pPr>
        <w:pStyle w:val="Literaturverzeichnis"/>
        <w:numPr>
          <w:ilvl w:val="0"/>
          <w:numId w:val="61"/>
        </w:numPr>
        <w:rPr/>
      </w:pPr>
      <w:bookmarkStart w:id="10426" w:name="litID0E1GAG"/>
      <w:bookmarkEnd w:id="10426"/>
      <w:r>
        <w:rPr/>
        <w:t xml:space="preserve">Walne AJ, Dokal A, Plagnol V, Beswick R, Kirwan M, de la Fuente J et al. Exome sequencing identifies MPL as a causative gene in familial aplastic anemia. Haematologica 97: 524-528, 2012: </w:t>
      </w:r>
      <w:hyperlink r:id="rIdex_ID0EUFAG">
        <w:r>
          <w:rPr>
            <w:rStyle w:val="Hyperlink"/>
          </w:rPr>
          <w:t xml:space="preserve">DOI: </w:t>
        </w:r>
      </w:hyperlink>
      <w:hyperlink r:id="rIdex_ID0EZFAG">
        <w:r>
          <w:rPr>
            <w:rStyle w:val="Hyperlink"/>
          </w:rPr>
          <w:t xml:space="preserve">10.3324/haema-</w:t>
        </w:r>
      </w:hyperlink>
      <w:hyperlink r:id="rIdex_ID0E4FAG">
        <w:r>
          <w:rPr>
            <w:rStyle w:val="Hyperlink"/>
          </w:rPr>
          <w:t xml:space="preserve"> tol.2011.052787</w:t>
        </w:r>
      </w:hyperlink>
    </w:p>
    <w:p>
      <w:pPr>
        <w:pStyle w:val="Literaturverzeichnis"/>
        <w:numPr>
          <w:ilvl w:val="0"/>
          <w:numId w:val="61"/>
        </w:numPr>
        <w:rPr/>
      </w:pPr>
      <w:bookmarkStart w:id="10430" w:name="litID0ERHAG"/>
      <w:bookmarkEnd w:id="10430"/>
      <w:r>
        <w:rPr/>
        <w:t xml:space="preserve">Kaufman DW, Kelly JP, Jurgelon JM et al.: Drugs in the aetiology of agranulocytosis and aplastic anaemia. Eur J Haematol Suppl </w:t>
      </w:r>
      <w:r>
        <w:rPr>
          <w:rStyle w:val="Absatz-Standardschriftart"/>
          <w:b/>
        </w:rPr>
        <w:t xml:space="preserve">60 </w:t>
      </w:r>
      <w:r>
        <w:rPr/>
        <w:t xml:space="preserve">:23-30, 1996.</w:t>
      </w:r>
      <w:hyperlink r:id="rIdex_ID0EJGAG">
        <w:r>
          <w:rPr>
            <w:rStyle w:val="Hyperlink"/>
          </w:rPr>
          <w:t xml:space="preserve"> PMID: 8987237</w:t>
        </w:r>
      </w:hyperlink>
    </w:p>
    <w:p>
      <w:pPr>
        <w:pStyle w:val="Literaturverzeichnis"/>
        <w:numPr>
          <w:ilvl w:val="0"/>
          <w:numId w:val="61"/>
        </w:numPr>
        <w:rPr/>
      </w:pPr>
      <w:bookmarkStart w:id="10432" w:name="litID0E6HAG"/>
      <w:bookmarkEnd w:id="10432"/>
      <w:r>
        <w:rPr/>
        <w:t xml:space="preserve">Dokal I: Dyskeratosis congenita. Hematology Am Soc Hematol Educ Program. 2011:480-486, 2011. </w:t>
      </w:r>
      <w:hyperlink r:id="rIdex_ID0EUGAG">
        <w:r>
          <w:rPr>
            <w:rStyle w:val="Hyperlink"/>
          </w:rPr>
          <w:t xml:space="preserve">DOI: </w:t>
        </w:r>
      </w:hyperlink>
      <w:hyperlink r:id="rIdex_ID0EZGAG">
        <w:r>
          <w:rPr>
            <w:rStyle w:val="Hyperlink"/>
          </w:rPr>
          <w:t xml:space="preserve">10.1182/asheducation-2011.1.480</w:t>
        </w:r>
      </w:hyperlink>
    </w:p>
    <w:p>
      <w:pPr>
        <w:pStyle w:val="Literaturverzeichnis"/>
        <w:numPr>
          <w:ilvl w:val="0"/>
          <w:numId w:val="61"/>
        </w:numPr>
        <w:rPr/>
      </w:pPr>
      <w:bookmarkStart w:id="10435" w:name="litID0ERIAG"/>
      <w:bookmarkEnd w:id="10435"/>
      <w:r>
        <w:rPr/>
        <w:t xml:space="preserve">Brümmendorf TH, Maciejewski JP, Mak J et.: Telomere length in leukocyte subpopulations of patients with aplastic anemia. Blood 97: 895-900, 2001.</w:t>
      </w:r>
      <w:hyperlink r:id="rIdex_ID0EDHAG">
        <w:r>
          <w:rPr>
            <w:rStyle w:val="Hyperlink"/>
          </w:rPr>
          <w:t xml:space="preserve"> DOI: </w:t>
        </w:r>
      </w:hyperlink>
      <w:hyperlink r:id="rIdex_ID0EIHAG">
        <w:r>
          <w:rPr>
            <w:rStyle w:val="Hyperlink"/>
          </w:rPr>
          <w:t xml:space="preserve">10.1182/blood.V97.4.895</w:t>
        </w:r>
      </w:hyperlink>
    </w:p>
    <w:p>
      <w:pPr>
        <w:pStyle w:val="Literaturverzeichnis"/>
        <w:numPr>
          <w:ilvl w:val="0"/>
          <w:numId w:val="61"/>
        </w:numPr>
        <w:rPr/>
      </w:pPr>
      <w:bookmarkStart w:id="10438" w:name="litID0EDJAG"/>
      <w:bookmarkEnd w:id="10438"/>
      <w:r>
        <w:rPr/>
        <w:t xml:space="preserve">Alter BP, Baerlocher GM, Savage SA, Chanock SJ, Weksler BB, Willner JP et al. Very short telomere length by flow fluorescence in situ hybridization identifies patients with dyskeratosis congenita. Blood 110:1439-1447, 2007.</w:t>
      </w:r>
      <w:hyperlink r:id="rIdex_ID0ESHAG">
        <w:r>
          <w:rPr>
            <w:rStyle w:val="Hyperlink"/>
          </w:rPr>
          <w:t xml:space="preserve"> DOI: </w:t>
        </w:r>
      </w:hyperlink>
      <w:hyperlink r:id="rIdex_ID0EXHAG">
        <w:r>
          <w:rPr>
            <w:rStyle w:val="Hyperlink"/>
          </w:rPr>
          <w:t xml:space="preserve">10.1182/blood-2007-02-075598</w:t>
        </w:r>
      </w:hyperlink>
    </w:p>
    <w:p>
      <w:pPr>
        <w:pStyle w:val="Literaturverzeichnis"/>
        <w:numPr>
          <w:ilvl w:val="0"/>
          <w:numId w:val="61"/>
        </w:numPr>
        <w:rPr/>
      </w:pPr>
      <w:bookmarkStart w:id="10441" w:name="litID0EVJAG"/>
      <w:bookmarkEnd w:id="10441"/>
      <w:r>
        <w:rPr/>
        <w:t xml:space="preserve">Du HY, Pumbo E, Ivanovich J, An P, Maziarz RT, Reiss UM et al. TERC and TERT gene mutations in patients with bone marrow failure and the significance of telomere length measurements. Blood 113: 309-316, 2009. </w:t>
      </w:r>
      <w:hyperlink r:id="rIdex_ID0EBIAG">
        <w:r>
          <w:rPr>
            <w:rStyle w:val="Hyperlink"/>
          </w:rPr>
          <w:t xml:space="preserve">DOI:</w:t>
        </w:r>
      </w:hyperlink>
      <w:r>
        <w:rPr/>
        <w:t xml:space="preserve"> </w:t>
      </w:r>
      <w:hyperlink r:id="rIdex_ID0EHIAG">
        <w:r>
          <w:rPr>
            <w:rStyle w:val="Hyperlink"/>
          </w:rPr>
          <w:t xml:space="preserve">10.1182/blood-2008-07-166421</w:t>
        </w:r>
      </w:hyperlink>
    </w:p>
    <w:p>
      <w:pPr>
        <w:pStyle w:val="Literaturverzeichnis"/>
        <w:numPr>
          <w:ilvl w:val="0"/>
          <w:numId w:val="61"/>
        </w:numPr>
        <w:rPr/>
      </w:pPr>
      <w:bookmarkStart w:id="10444" w:name="litID0EIKAG"/>
      <w:bookmarkEnd w:id="10444"/>
      <w:r>
        <w:rPr/>
        <w:t xml:space="preserve">Oshrine B, Bessler M. Ask the Hematologists. The Hematologist 9:4-5, 2012. </w:t>
      </w:r>
      <w:hyperlink r:id="rIdex_ID0ERIAG">
        <w:r>
          <w:rPr>
            <w:rStyle w:val="Hyperlink"/>
          </w:rPr>
          <w:t xml:space="preserve">http://www.hematology.org/Publications/Hematologist/2012/</w:t>
        </w:r>
      </w:hyperlink>
      <w:hyperlink r:id="rIdex_ID0EVIAG">
        <w:r>
          <w:rPr>
            <w:rStyle w:val="Hyperlink"/>
          </w:rPr>
          <w:t xml:space="preserve">8274.aspx</w:t>
        </w:r>
      </w:hyperlink>
    </w:p>
    <w:p>
      <w:pPr>
        <w:pStyle w:val="Literaturverzeichnis"/>
        <w:numPr>
          <w:ilvl w:val="0"/>
          <w:numId w:val="61"/>
        </w:numPr>
        <w:rPr/>
      </w:pPr>
      <w:bookmarkStart w:id="10447" w:name="litID0EZKAG"/>
      <w:bookmarkEnd w:id="10447"/>
      <w:r>
        <w:rPr/>
        <w:t xml:space="preserve">Gupta V, Eapen M, Brazauskas R et al.: Impact of age on outcomes after bone marrow transplantation for acquired aplastic anemia using HLA-matched sibling donors. Haematologica 95:2119-2125, 2010. </w:t>
      </w:r>
      <w:hyperlink r:id="rIdex_ID0E6IAG">
        <w:r>
          <w:rPr>
            <w:rStyle w:val="Hyperlink"/>
          </w:rPr>
          <w:t xml:space="preserve">DOI:</w:t>
        </w:r>
      </w:hyperlink>
      <w:r>
        <w:rPr/>
        <w:t xml:space="preserve"> </w:t>
      </w:r>
      <w:hyperlink r:id="rIdex_ID0EFJAG">
        <w:r>
          <w:rPr>
            <w:rStyle w:val="Hyperlink"/>
          </w:rPr>
          <w:t xml:space="preserve">10.3324/haematol.2010.026682</w:t>
        </w:r>
      </w:hyperlink>
    </w:p>
    <w:p>
      <w:pPr>
        <w:pStyle w:val="Literaturverzeichnis"/>
        <w:numPr>
          <w:ilvl w:val="0"/>
          <w:numId w:val="61"/>
        </w:numPr>
        <w:rPr/>
      </w:pPr>
      <w:bookmarkStart w:id="10450" w:name="litID0EMLAG"/>
      <w:bookmarkEnd w:id="10450"/>
      <w:r>
        <w:rPr/>
        <w:t xml:space="preserve">Passweg J, Marsh JC: Aplastic anemia: first-line treatment by immunosuppression and sibling marrow transplantation. Hematology Am Soc Hematol  Educ  Program.  2010:36-42,  2010.  </w:t>
      </w:r>
      <w:hyperlink r:id="rIdex_ID0EPJAG">
        <w:r>
          <w:rPr>
            <w:rStyle w:val="Hyperlink"/>
          </w:rPr>
          <w:t xml:space="preserve">DOI:  </w:t>
        </w:r>
      </w:hyperlink>
      <w:hyperlink r:id="rIdex_ID0EUJAG">
        <w:r>
          <w:rPr>
            <w:rStyle w:val="Hyperlink"/>
          </w:rPr>
          <w:t xml:space="preserve">10.1182/asheduca-</w:t>
        </w:r>
      </w:hyperlink>
      <w:hyperlink r:id="rIdex_ID0EYJAG">
        <w:r>
          <w:rPr>
            <w:rStyle w:val="Hyperlink"/>
          </w:rPr>
          <w:t xml:space="preserve"> tion-2010.1.36</w:t>
        </w:r>
      </w:hyperlink>
      <w:r>
        <w:rPr/>
        <w:t xml:space="preserve"> </w:t>
      </w:r>
    </w:p>
    <w:p>
      <w:pPr>
        <w:pStyle w:val="Literaturverzeichnis"/>
        <w:numPr>
          <w:ilvl w:val="0"/>
          <w:numId w:val="61"/>
        </w:numPr>
        <w:rPr/>
      </w:pPr>
      <w:bookmarkStart w:id="10454" w:name="litID0EFMAG"/>
      <w:bookmarkEnd w:id="10454"/>
      <w:r>
        <w:rPr/>
        <w:t xml:space="preserve">Valdez JM, Scheinberg P, Nunez O et al.: Decreased infection-related mortality and improved survival in severe aplastic anemia in the past two decades. Clin Infect Dis 52:726-735, 2011. </w:t>
      </w:r>
      <w:hyperlink r:id="rIdex_ID0EDKAG">
        <w:r>
          <w:rPr>
            <w:rStyle w:val="Hyperlink"/>
          </w:rPr>
          <w:t xml:space="preserve">DOI: 10.1093/cid/ciq245</w:t>
        </w:r>
      </w:hyperlink>
    </w:p>
    <w:p>
      <w:pPr>
        <w:pStyle w:val="Literaturverzeichnis"/>
        <w:numPr>
          <w:ilvl w:val="0"/>
          <w:numId w:val="61"/>
        </w:numPr>
        <w:rPr/>
      </w:pPr>
      <w:bookmarkStart w:id="10456" w:name="litID0ERMAG"/>
      <w:bookmarkEnd w:id="10456"/>
      <w:r>
        <w:rPr/>
        <w:t xml:space="preserve">Gafter-Gvili A, Ram R, Raanani P, and Shpilberg O: Management of aplastic anemia: the role of systematic reviews and meta-analyses. Acta Haematol 125:47-54, 2011. </w:t>
      </w:r>
      <w:hyperlink r:id="rIdex_ID0EOKAG">
        <w:r>
          <w:rPr>
            <w:rStyle w:val="Hyperlink"/>
          </w:rPr>
          <w:t xml:space="preserve">DOI: 10.1159/000318893</w:t>
        </w:r>
      </w:hyperlink>
    </w:p>
    <w:p>
      <w:pPr>
        <w:pStyle w:val="Literaturverzeichnis"/>
        <w:numPr>
          <w:ilvl w:val="0"/>
          <w:numId w:val="61"/>
        </w:numPr>
        <w:rPr/>
      </w:pPr>
      <w:bookmarkStart w:id="10458" w:name="litID0E4MAG"/>
      <w:bookmarkEnd w:id="10458"/>
      <w:r>
        <w:rPr/>
        <w:t xml:space="preserve">Gafter-Gvili A, Fraser A, Paul M et al.: Antibiotic prophylaxis for bacterial infections in afebrile neutropenic patients following chemotherapy. Cochrane   Database   Syst   Rev,   2009.   CD004386.   </w:t>
      </w:r>
      <w:hyperlink r:id="rIdex_ID0EZKAG">
        <w:r>
          <w:rPr>
            <w:rStyle w:val="Hyperlink"/>
          </w:rPr>
          <w:t xml:space="preserve">DOI:   10.1002/</w:t>
        </w:r>
      </w:hyperlink>
      <w:hyperlink r:id="rIdex_ID0E5KAG">
        <w:r>
          <w:rPr>
            <w:rStyle w:val="Hyperlink"/>
          </w:rPr>
          <w:t xml:space="preserve">14651858.CD004386.pub3</w:t>
        </w:r>
      </w:hyperlink>
    </w:p>
    <w:p>
      <w:pPr>
        <w:pStyle w:val="Literaturverzeichnis"/>
        <w:numPr>
          <w:ilvl w:val="0"/>
          <w:numId w:val="61"/>
        </w:numPr>
        <w:rPr/>
      </w:pPr>
      <w:bookmarkStart w:id="10461" w:name="litID0EPNAG"/>
      <w:bookmarkEnd w:id="10461"/>
      <w:r>
        <w:rPr/>
        <w:t xml:space="preserve">Schlesinger A, Paul M, Gafter-Gvili A et al.: Infection-control interventions for cancer patients after chemotherapy: a systematic review and metaanalysis.  Lancet  Infect  Dis.  </w:t>
      </w:r>
      <w:r>
        <w:rPr>
          <w:rStyle w:val="Absatz-Standardschriftart"/>
          <w:b/>
        </w:rPr>
        <w:t xml:space="preserve">9  </w:t>
      </w:r>
      <w:r>
        <w:rPr/>
        <w:t xml:space="preserve">:97-107,  2009.  </w:t>
      </w:r>
      <w:hyperlink r:id="rIdex_ID0EKLAG">
        <w:r>
          <w:rPr>
            <w:rStyle w:val="Hyperlink"/>
          </w:rPr>
          <w:t xml:space="preserve">DOI:10.1016/S1473-</w:t>
        </w:r>
      </w:hyperlink>
      <w:hyperlink r:id="rIdex_ID0EPLAG">
        <w:r>
          <w:rPr>
            <w:rStyle w:val="Hyperlink"/>
          </w:rPr>
          <w:t xml:space="preserve">3099(08)70284-6</w:t>
        </w:r>
      </w:hyperlink>
    </w:p>
    <w:p>
      <w:pPr>
        <w:pStyle w:val="Literaturverzeichnis"/>
        <w:numPr>
          <w:ilvl w:val="0"/>
          <w:numId w:val="61"/>
        </w:numPr>
        <w:rPr/>
      </w:pPr>
      <w:bookmarkStart w:id="10464" w:name="litID0EDOAG"/>
      <w:bookmarkEnd w:id="10464"/>
      <w:r>
        <w:rPr/>
        <w:t xml:space="preserve">Gafter-Gvili A, Fraser A, Paul M and Leibovici L: Meta-analysis: antibiotic prophylaxis reduces mortality in neutropenic patients. Ann Intern Med 142:979-995, 2005. </w:t>
      </w:r>
      <w:hyperlink r:id="rIdex_ID0EZLAG">
        <w:r>
          <w:rPr>
            <w:rStyle w:val="Hyperlink"/>
          </w:rPr>
          <w:t xml:space="preserve">PMID: 15968013</w:t>
        </w:r>
      </w:hyperlink>
    </w:p>
    <w:p>
      <w:pPr>
        <w:pStyle w:val="Literaturverzeichnis"/>
        <w:numPr>
          <w:ilvl w:val="0"/>
          <w:numId w:val="61"/>
        </w:numPr>
        <w:rPr/>
      </w:pPr>
      <w:bookmarkStart w:id="10466" w:name="litID0EPOAG"/>
      <w:bookmarkEnd w:id="10466"/>
      <w:r>
        <w:rPr/>
        <w:t xml:space="preserve">Gafter-Gvili A, Paul M, Fraser A and Leibovici L: Effect of quinolone prophylaxis in afebrile neutropenic patients on microbial resistance: systematic   review   and   meta-analysis.   J   Antimicrob   Chemother. 2007;59:5-22, 2007. </w:t>
      </w:r>
      <w:hyperlink r:id="rIdex_ID0EEMAG">
        <w:r>
          <w:rPr>
            <w:rStyle w:val="Hyperlink"/>
          </w:rPr>
          <w:t xml:space="preserve">DOI: </w:t>
        </w:r>
      </w:hyperlink>
      <w:hyperlink r:id="rIdex_ID0EJMAG">
        <w:r>
          <w:rPr>
            <w:rStyle w:val="Hyperlink"/>
          </w:rPr>
          <w:t xml:space="preserve">10.1093/jac/dkl425</w:t>
        </w:r>
      </w:hyperlink>
    </w:p>
    <w:p>
      <w:pPr>
        <w:pStyle w:val="Literaturverzeichnis"/>
        <w:numPr>
          <w:ilvl w:val="0"/>
          <w:numId w:val="61"/>
        </w:numPr>
        <w:rPr/>
      </w:pPr>
      <w:bookmarkStart w:id="10469" w:name="litID0EBPAG"/>
      <w:bookmarkEnd w:id="10469"/>
      <w:r>
        <w:rPr/>
        <w:t xml:space="preserve">Gafter-Gvili A, Paul M, Fraser A and Leibovici L: Antibiotic prophylaxis in neutropenic patients. Isr Med Assoc J 9:460-462, 2007. </w:t>
      </w:r>
      <w:hyperlink r:id="rIdex_ID0ETMAG">
        <w:r>
          <w:rPr>
            <w:rStyle w:val="Hyperlink"/>
          </w:rPr>
          <w:t xml:space="preserve">PMID:</w:t>
        </w:r>
      </w:hyperlink>
      <w:hyperlink r:id="rIdex_ID0EYMAG">
        <w:r>
          <w:rPr>
            <w:rStyle w:val="Hyperlink"/>
          </w:rPr>
          <w:t xml:space="preserve"> 17642395</w:t>
        </w:r>
      </w:hyperlink>
    </w:p>
    <w:p>
      <w:pPr>
        <w:pStyle w:val="Literaturverzeichnis"/>
        <w:numPr>
          <w:ilvl w:val="0"/>
          <w:numId w:val="61"/>
        </w:numPr>
        <w:rPr/>
      </w:pPr>
      <w:bookmarkStart w:id="10472" w:name="litID0ETPAG"/>
      <w:bookmarkEnd w:id="10472"/>
      <w:r>
        <w:rPr/>
        <w:t xml:space="preserve">Leibovici L, Paul, M, Cullen M et al.: Antibiotic prophylaxis in neutropenic patients:  new  evidence,  practical  decisions.  Cancer  107:1743-1751, 2006.</w:t>
      </w:r>
      <w:hyperlink r:id="rIdex_ID0ECNAG">
        <w:r>
          <w:rPr>
            <w:rStyle w:val="Hyperlink"/>
          </w:rPr>
          <w:t xml:space="preserve"> DOI 10.1002/cncr.22205</w:t>
        </w:r>
      </w:hyperlink>
    </w:p>
    <w:p>
      <w:pPr>
        <w:pStyle w:val="Literaturverzeichnis"/>
        <w:numPr>
          <w:ilvl w:val="0"/>
          <w:numId w:val="61"/>
        </w:numPr>
        <w:rPr/>
      </w:pPr>
      <w:bookmarkStart w:id="10474" w:name="litID0E6PAG"/>
      <w:bookmarkEnd w:id="10474"/>
      <w:r>
        <w:rPr/>
        <w:t xml:space="preserve">Champlin RE, Horowitz MM, van Bekkum D et al.: Graft failure following bone marrow transplantation for severe aplastic anemia: risk factors and treatment results. Blood 73:606-613, 1989. </w:t>
      </w:r>
      <w:hyperlink r:id="rIdex_ID0EMNAG">
        <w:r>
          <w:rPr>
            <w:rStyle w:val="Hyperlink"/>
          </w:rPr>
          <w:t xml:space="preserve">PMID: 2644980</w:t>
        </w:r>
      </w:hyperlink>
    </w:p>
    <w:p>
      <w:pPr>
        <w:pStyle w:val="Literaturverzeichnis"/>
        <w:numPr>
          <w:ilvl w:val="0"/>
          <w:numId w:val="61"/>
        </w:numPr>
        <w:rPr/>
      </w:pPr>
      <w:bookmarkStart w:id="10476" w:name="litID0ELQAG"/>
      <w:bookmarkEnd w:id="10476"/>
      <w:r>
        <w:rPr/>
        <w:t xml:space="preserve">Piccin A, O'Marcaigh A, Smith O et al.: Outcome of bone marrow transplantation in acquired and inherited aplastic anaemia in the Republic of Ireland. Ir J Med Sci 174:13-19, 2005. </w:t>
      </w:r>
      <w:hyperlink r:id="rIdex_ID0EXNAG">
        <w:r>
          <w:rPr>
            <w:rStyle w:val="Hyperlink"/>
          </w:rPr>
          <w:t xml:space="preserve">PMID: 16285332</w:t>
        </w:r>
      </w:hyperlink>
    </w:p>
    <w:p>
      <w:pPr>
        <w:pStyle w:val="Literaturverzeichnis"/>
        <w:numPr>
          <w:ilvl w:val="0"/>
          <w:numId w:val="61"/>
        </w:numPr>
        <w:rPr/>
      </w:pPr>
      <w:bookmarkStart w:id="10478" w:name="litID0EXQAG"/>
      <w:bookmarkEnd w:id="10478"/>
      <w:r>
        <w:rPr/>
        <w:t xml:space="preserve">Hernandez--Boluda JC, Marin P, Carreras E et al.: Bone marrow transplantation for severe aplastic anemia: the Barcelona Hospital Clinic experience. Haematologica 84:26-31, 1999. </w:t>
      </w:r>
      <w:hyperlink r:id="rIdex_ID0ECOAG">
        <w:r>
          <w:rPr>
            <w:rStyle w:val="Hyperlink"/>
          </w:rPr>
          <w:t xml:space="preserve">PMID: 10091390</w:t>
        </w:r>
      </w:hyperlink>
    </w:p>
    <w:p>
      <w:pPr>
        <w:pStyle w:val="Literaturverzeichnis"/>
        <w:numPr>
          <w:ilvl w:val="0"/>
          <w:numId w:val="61"/>
        </w:numPr>
        <w:rPr/>
      </w:pPr>
      <w:bookmarkStart w:id="10480" w:name="litID0EDRAG"/>
      <w:bookmarkEnd w:id="10480"/>
      <w:r>
        <w:rPr/>
        <w:t xml:space="preserve">Killick SB, Win N, Marsh JC et al.: Pilot study of HLA alloimmunization after transfusion with prestorage leucodepleted blood products in aplastic anaemia. Br J Haematol 97:677-684, 1997. </w:t>
      </w:r>
      <w:hyperlink r:id="rIdex_ID0ENOAG">
        <w:r>
          <w:rPr>
            <w:rStyle w:val="Hyperlink"/>
          </w:rPr>
          <w:t xml:space="preserve">PMID: 9207422</w:t>
        </w:r>
      </w:hyperlink>
    </w:p>
    <w:p>
      <w:pPr>
        <w:pStyle w:val="Literaturverzeichnis"/>
        <w:numPr>
          <w:ilvl w:val="0"/>
          <w:numId w:val="61"/>
        </w:numPr>
        <w:rPr/>
      </w:pPr>
      <w:bookmarkStart w:id="10482" w:name="litID0EPRAG"/>
      <w:bookmarkEnd w:id="10482"/>
      <w:r>
        <w:rPr/>
        <w:t xml:space="preserve">Desmarets M, Cadwell CM, Peterson KR, Neades R and Zimring JC: Minor histocompatibility antigens on transfused leukoreduced units of red blood cells induce bone marrow transplant rejection in a mouse model. Blood. 2009;114:2315-2322, 2009. </w:t>
      </w:r>
      <w:hyperlink r:id="rIdex_ID0EYOAG">
        <w:r>
          <w:rPr>
            <w:rStyle w:val="Hyperlink"/>
          </w:rPr>
          <w:t xml:space="preserve">DOI: </w:t>
        </w:r>
      </w:hyperlink>
      <w:hyperlink r:id="rIdex_ID0E4OAG">
        <w:r>
          <w:rPr>
            <w:rStyle w:val="Hyperlink"/>
          </w:rPr>
          <w:t xml:space="preserve">10.1182/blood-2009-04-214387</w:t>
        </w:r>
      </w:hyperlink>
    </w:p>
    <w:p>
      <w:pPr>
        <w:pStyle w:val="Literaturverzeichnis"/>
        <w:numPr>
          <w:ilvl w:val="0"/>
          <w:numId w:val="61"/>
        </w:numPr>
        <w:rPr/>
      </w:pPr>
      <w:bookmarkStart w:id="10485" w:name="litID0EBSAG"/>
      <w:bookmarkEnd w:id="10485"/>
      <w:r>
        <w:rPr/>
        <w:t xml:space="preserve">Wissenschaftlicher  Beirat   der   Bundesärztekammer.  Richtlinien  zur Gewinnung von Blut und Blutbestandteilen und zur Anwendung von Blutprodukten (Hämotherapie). 2010</w:t>
      </w:r>
    </w:p>
    <w:p>
      <w:pPr>
        <w:pStyle w:val="Literaturverzeichnis"/>
        <w:numPr>
          <w:ilvl w:val="0"/>
          <w:numId w:val="61"/>
        </w:numPr>
        <w:rPr/>
      </w:pPr>
      <w:bookmarkStart w:id="10486" w:name="litID0EFSAG"/>
      <w:bookmarkEnd w:id="10486"/>
      <w:r>
        <w:rPr/>
        <w:t xml:space="preserve">Bundesärztekammer. Querschnitts-Leitlinien zur Therapie mit Blutkomponenten und Plasmaderivaten. 2009</w:t>
      </w:r>
    </w:p>
    <w:p>
      <w:pPr>
        <w:pStyle w:val="Literaturverzeichnis"/>
        <w:numPr>
          <w:ilvl w:val="0"/>
          <w:numId w:val="61"/>
        </w:numPr>
        <w:rPr/>
      </w:pPr>
      <w:bookmarkStart w:id="10487" w:name="litID0EJSAG"/>
      <w:bookmarkEnd w:id="10487"/>
      <w:r>
        <w:rPr/>
        <w:t xml:space="preserve">Sagmeister M, Oec L and Gmur J: A restrictive platelet transfusion policy allowing long-term support of outpatients with severe aplastic anemia. Blood 93:3124-3126, 1999. </w:t>
      </w:r>
      <w:hyperlink r:id="rIdex_ID0ERPAG">
        <w:r>
          <w:rPr>
            <w:rStyle w:val="Hyperlink"/>
          </w:rPr>
          <w:t xml:space="preserve">PMID: 10216111</w:t>
        </w:r>
      </w:hyperlink>
      <w:r>
        <w:rPr/>
        <w:t xml:space="preserve"> </w:t>
      </w:r>
    </w:p>
    <w:p>
      <w:pPr>
        <w:pStyle w:val="Literaturverzeichnis"/>
        <w:numPr>
          <w:ilvl w:val="0"/>
          <w:numId w:val="61"/>
        </w:numPr>
        <w:rPr/>
      </w:pPr>
      <w:bookmarkStart w:id="10489" w:name="litID0EWSAG"/>
      <w:bookmarkEnd w:id="10489"/>
      <w:r>
        <w:rPr/>
        <w:t xml:space="preserve">Höchsmann B, Seidel N, Marx-Hoffmann A, Wiesneth M and Schrezenmeier H: Is the Low Platelet Transfusion Trigger in the New Cross-Sectional German Guidelines of risk in outpatient setting? Prophylactic platelet transfusions in aplastic anemia. Transf Med Hemother 35 (suppl.1):38, 2009              (Abstract). </w:t>
      </w:r>
      <w:hyperlink r:id="rIdex_ID0E4PAG">
        <w:r>
          <w:rPr>
            <w:rStyle w:val="Hyperlink"/>
          </w:rPr>
          <w:t xml:space="preserve">http://content.karger.com/ProdukteDB/</w:t>
        </w:r>
      </w:hyperlink>
      <w:hyperlink r:id="rIdex_ID0EBQAG">
        <w:r>
          <w:rPr>
            <w:rStyle w:val="Hyperlink"/>
          </w:rPr>
          <w:t xml:space="preserve">produkte.asp?Aktion=ShowPDF&amp;ArtikelNr=242471&amp;Ausgabe=251862&amp;ProduktNr=2241</w:t>
        </w:r>
      </w:hyperlink>
    </w:p>
    <w:p>
      <w:pPr>
        <w:pStyle w:val="Literaturverzeichnis"/>
        <w:numPr>
          <w:ilvl w:val="0"/>
          <w:numId w:val="61"/>
        </w:numPr>
        <w:rPr/>
      </w:pPr>
      <w:bookmarkStart w:id="10492" w:name="litID0EHTAG"/>
      <w:bookmarkEnd w:id="10492"/>
      <w:r>
        <w:rPr/>
        <w:t xml:space="preserve">Quillen K, Wong E, Scheinberg P, Young NS, Walsh TJ, Wu CO et al. Granulocyte transfusions in severe aplastic anemia: an eleven-year experience. Haematologica 94:1661-1668, 2009. </w:t>
      </w:r>
      <w:hyperlink r:id="rIdex_ID0ELQAG">
        <w:r>
          <w:rPr>
            <w:rStyle w:val="Hyperlink"/>
          </w:rPr>
          <w:t xml:space="preserve">DOI: </w:t>
        </w:r>
      </w:hyperlink>
      <w:hyperlink r:id="rIdex_ID0EQQAG">
        <w:r>
          <w:rPr>
            <w:rStyle w:val="Hyperlink"/>
          </w:rPr>
          <w:t xml:space="preserve">10.3324/haema-</w:t>
        </w:r>
      </w:hyperlink>
      <w:hyperlink r:id="rIdex_ID0EUQAG">
        <w:r>
          <w:rPr>
            <w:rStyle w:val="Hyperlink"/>
          </w:rPr>
          <w:t xml:space="preserve"> tol.2009.010231</w:t>
        </w:r>
      </w:hyperlink>
    </w:p>
    <w:p>
      <w:pPr>
        <w:pStyle w:val="Literaturverzeichnis"/>
        <w:numPr>
          <w:ilvl w:val="0"/>
          <w:numId w:val="61"/>
        </w:numPr>
        <w:rPr/>
      </w:pPr>
      <w:bookmarkStart w:id="10496" w:name="litID0E6TAG"/>
      <w:bookmarkEnd w:id="10496"/>
      <w:r>
        <w:rPr/>
        <w:t xml:space="preserve">Marsh J, Socie G, Tichelli A et al.: Should irradiated blood products be given routinely to all patients with aplastic anaemia undergoing immunosuppressive therapy with antithymocyte globulin (ATG)? A survey from the European Group for Blood and Marrow Transplantation Severe Aplastic Anaemia Working Party. Br J Haematol 150:377-379, 2010. </w:t>
      </w:r>
      <w:hyperlink r:id="rIdex_ID0E5QAG">
        <w:r>
          <w:rPr>
            <w:rStyle w:val="Hyperlink"/>
          </w:rPr>
          <w:t xml:space="preserve">DOI </w:t>
        </w:r>
      </w:hyperlink>
      <w:hyperlink r:id="rIdex_ID0ECRAG">
        <w:r>
          <w:rPr>
            <w:rStyle w:val="Hyperlink"/>
          </w:rPr>
          <w:t xml:space="preserve">:</w:t>
        </w:r>
      </w:hyperlink>
      <w:r>
        <w:rPr/>
        <w:t xml:space="preserve"> </w:t>
      </w:r>
      <w:hyperlink r:id="rIdex_ID0EHRAG">
        <w:r>
          <w:rPr>
            <w:rStyle w:val="Hyperlink"/>
          </w:rPr>
          <w:t xml:space="preserve">10.1111/j.1365-2141.2010.08200.x</w:t>
        </w:r>
      </w:hyperlink>
    </w:p>
    <w:p>
      <w:pPr>
        <w:pStyle w:val="Literaturverzeichnis"/>
        <w:numPr>
          <w:ilvl w:val="0"/>
          <w:numId w:val="61"/>
        </w:numPr>
        <w:rPr/>
      </w:pPr>
      <w:bookmarkStart w:id="10500" w:name="litID0EYUAG"/>
      <w:bookmarkEnd w:id="10500"/>
      <w:r>
        <w:rPr/>
        <w:t xml:space="preserve">Bean  MA,  Graham  T,  Appelbaum  FR  et  al.:  Gamma-irradiation  of pretransplant blood transfusions from unrelated donors prevents sensitization to minor histocompatibility antigens on dog leukocyte antigenidentical canine marrow grafts. Transplantation 57:423-426, 1994. </w:t>
      </w:r>
      <w:hyperlink r:id="rIdex_ID0ERRAG">
        <w:r>
          <w:rPr>
            <w:rStyle w:val="Hyperlink"/>
          </w:rPr>
          <w:t xml:space="preserve">PMID:</w:t>
        </w:r>
      </w:hyperlink>
      <w:r>
        <w:rPr/>
        <w:t xml:space="preserve"> </w:t>
      </w:r>
      <w:hyperlink r:id="rIdex_ID0EXRAG">
        <w:r>
          <w:rPr>
            <w:rStyle w:val="Hyperlink"/>
          </w:rPr>
          <w:t xml:space="preserve">8108879</w:t>
        </w:r>
      </w:hyperlink>
    </w:p>
    <w:p>
      <w:pPr>
        <w:pStyle w:val="Literaturverzeichnis"/>
        <w:numPr>
          <w:ilvl w:val="0"/>
          <w:numId w:val="61"/>
        </w:numPr>
        <w:rPr/>
      </w:pPr>
      <w:bookmarkStart w:id="10503" w:name="litID0ELVAG"/>
      <w:bookmarkEnd w:id="10503"/>
      <w:r>
        <w:rPr/>
        <w:t xml:space="preserve">Armand P, Kim HT, Cutler CS et  al.: Prognostic impact of elevated pretransplantation serum ferritin in patients undergoing myeloablative stem cell transplantation. Blood 109:4586-4588, 2007. </w:t>
      </w:r>
      <w:hyperlink r:id="rIdex_ID0EBSAG">
        <w:r>
          <w:rPr>
            <w:rStyle w:val="Hyperlink"/>
          </w:rPr>
          <w:t xml:space="preserve">DOI: </w:t>
        </w:r>
      </w:hyperlink>
      <w:hyperlink r:id="rIdex_ID0EGSAG">
        <w:r>
          <w:rPr>
            <w:rStyle w:val="Hyperlink"/>
          </w:rPr>
          <w:t xml:space="preserve">10.1182/</w:t>
        </w:r>
      </w:hyperlink>
      <w:hyperlink r:id="rIdex_ID0EKSAG">
        <w:r>
          <w:rPr>
            <w:rStyle w:val="Hyperlink"/>
          </w:rPr>
          <w:t xml:space="preserve"> blood-2006-10-054924</w:t>
        </w:r>
      </w:hyperlink>
    </w:p>
    <w:p>
      <w:pPr>
        <w:pStyle w:val="Literaturverzeichnis"/>
        <w:numPr>
          <w:ilvl w:val="0"/>
          <w:numId w:val="61"/>
        </w:numPr>
        <w:rPr/>
      </w:pPr>
      <w:bookmarkStart w:id="10507" w:name="litID0EDWAG"/>
      <w:bookmarkEnd w:id="10507"/>
      <w:r>
        <w:rPr/>
        <w:t xml:space="preserve">Pullarkat V, Blanchard S, Tegtmeier B et al.: Iron overload adversely affects outcome of allogeneic hematopoietic cell transplantation. Bone Marrow Transplant 42:799-805, 2008. </w:t>
      </w:r>
      <w:hyperlink r:id="rIdex_ID0EUSAG">
        <w:r>
          <w:rPr>
            <w:rStyle w:val="Hyperlink"/>
          </w:rPr>
          <w:t xml:space="preserve">DOI: </w:t>
        </w:r>
      </w:hyperlink>
      <w:hyperlink r:id="rIdex_ID0EZSAG">
        <w:r>
          <w:rPr>
            <w:rStyle w:val="Hyperlink"/>
          </w:rPr>
          <w:t xml:space="preserve">10.1038/bmt.2008.262</w:t>
        </w:r>
      </w:hyperlink>
    </w:p>
    <w:p>
      <w:pPr>
        <w:pStyle w:val="Literaturverzeichnis"/>
        <w:numPr>
          <w:ilvl w:val="0"/>
          <w:numId w:val="61"/>
        </w:numPr>
        <w:rPr/>
      </w:pPr>
      <w:bookmarkStart w:id="10510" w:name="litID0EVWAG"/>
      <w:bookmarkEnd w:id="10510"/>
      <w:r>
        <w:rPr/>
        <w:t xml:space="preserve">Koreth J and Antin JH: Iron overload in hematologic malignancies and outcome of allogeneic hematopoietic stem cell transplantation. Haematologica 95:364-366, 2010. </w:t>
      </w:r>
      <w:hyperlink r:id="rIdex_ID0EDTAG">
        <w:r>
          <w:rPr>
            <w:rStyle w:val="Hyperlink"/>
          </w:rPr>
          <w:t xml:space="preserve">DOI: </w:t>
        </w:r>
      </w:hyperlink>
      <w:hyperlink r:id="rIdex_ID0EITAG">
        <w:r>
          <w:rPr>
            <w:rStyle w:val="Hyperlink"/>
          </w:rPr>
          <w:t xml:space="preserve">10.3324/haematol.2009.017244</w:t>
        </w:r>
      </w:hyperlink>
    </w:p>
    <w:p>
      <w:pPr>
        <w:pStyle w:val="Literaturverzeichnis"/>
        <w:numPr>
          <w:ilvl w:val="0"/>
          <w:numId w:val="61"/>
        </w:numPr>
        <w:rPr/>
      </w:pPr>
      <w:bookmarkStart w:id="10513" w:name="litID0EHXAG"/>
      <w:bookmarkEnd w:id="10513"/>
      <w:r>
        <w:rPr/>
        <w:t xml:space="preserve">Deeg HJ, Spaulding E, Schulman HM: Iron overload, hematopoietic cell transplantation,   and   graft-versus-host   disease.   Leuk   Lymphoma 50:1566-1572, 2009. </w:t>
      </w:r>
      <w:hyperlink r:id="rIdex_ID0ESTAG">
        <w:r>
          <w:rPr>
            <w:rStyle w:val="Hyperlink"/>
          </w:rPr>
          <w:t xml:space="preserve">PMID: 19863335</w:t>
        </w:r>
      </w:hyperlink>
    </w:p>
    <w:p>
      <w:pPr>
        <w:pStyle w:val="Literaturverzeichnis"/>
        <w:numPr>
          <w:ilvl w:val="0"/>
          <w:numId w:val="61"/>
        </w:numPr>
        <w:rPr/>
      </w:pPr>
      <w:bookmarkStart w:id="10515" w:name="litID0ETXAG"/>
      <w:bookmarkEnd w:id="10515"/>
      <w:r>
        <w:rPr/>
        <w:t xml:space="preserve">Lee JW, Yoon SS, Shen ZX et al.: Iron chelation therapy with deferasirox in patients with aplastic anemia: a subgroup analysis of 116 patients from   the   EPIC   trial.   Blood   116:2448-2454,  2010.  </w:t>
      </w:r>
      <w:hyperlink r:id="rIdex_ID0E4TAG">
        <w:r>
          <w:rPr>
            <w:rStyle w:val="Hyperlink"/>
          </w:rPr>
          <w:t xml:space="preserve">DOI:   </w:t>
        </w:r>
      </w:hyperlink>
      <w:hyperlink r:id="rIdex_ID0ECUAG">
        <w:r>
          <w:rPr>
            <w:rStyle w:val="Hyperlink"/>
          </w:rPr>
          <w:t xml:space="preserve">10.1182/</w:t>
        </w:r>
      </w:hyperlink>
      <w:hyperlink r:id="rIdex_ID0EGUAG">
        <w:r>
          <w:rPr>
            <w:rStyle w:val="Hyperlink"/>
          </w:rPr>
          <w:t xml:space="preserve"> blood-2010-01-261289</w:t>
        </w:r>
      </w:hyperlink>
    </w:p>
    <w:p>
      <w:pPr>
        <w:pStyle w:val="Literaturverzeichnis"/>
        <w:numPr>
          <w:ilvl w:val="0"/>
          <w:numId w:val="61"/>
        </w:numPr>
        <w:rPr/>
      </w:pPr>
      <w:bookmarkStart w:id="10519" w:name="litID0ELYAG"/>
      <w:bookmarkEnd w:id="10519"/>
      <w:r>
        <w:rPr/>
        <w:t xml:space="preserve">Marsh JC, Ball SE, Cavenagh J et al.: Guidelines for the diagnosis and management of aplastic anaemia. Br J Haematol 147:43-70, 2009. </w:t>
      </w:r>
      <w:hyperlink r:id="rIdex_ID0EQUAG">
        <w:r>
          <w:rPr>
            <w:rStyle w:val="Hyperlink"/>
          </w:rPr>
          <w:t xml:space="preserve">DOI:</w:t>
        </w:r>
      </w:hyperlink>
      <w:r>
        <w:rPr/>
        <w:t xml:space="preserve"> </w:t>
      </w:r>
      <w:hyperlink r:id="rIdex_ID0EWUAG">
        <w:r>
          <w:rPr>
            <w:rStyle w:val="Hyperlink"/>
          </w:rPr>
          <w:t xml:space="preserve">10.1111/j.1365-2141.2009.07842.x</w:t>
        </w:r>
      </w:hyperlink>
    </w:p>
    <w:p>
      <w:pPr>
        <w:pStyle w:val="Literaturverzeichnis"/>
        <w:numPr>
          <w:ilvl w:val="0"/>
          <w:numId w:val="61"/>
        </w:numPr>
        <w:rPr/>
      </w:pPr>
      <w:bookmarkStart w:id="10522" w:name="litID0E5YAG"/>
      <w:bookmarkEnd w:id="10522"/>
      <w:r>
        <w:rPr/>
        <w:t xml:space="preserve">Schrezenmeier H, Passweg J and Bacigalupo A: In Aplastic Anemia-Pathophysiology and  Treatment.  Cambride  University  Press  287-294, 2000. ISBN 0 521 64101 2</w:t>
      </w:r>
    </w:p>
    <w:p>
      <w:pPr>
        <w:pStyle w:val="Literaturverzeichnis"/>
        <w:numPr>
          <w:ilvl w:val="0"/>
          <w:numId w:val="61"/>
        </w:numPr>
        <w:rPr/>
      </w:pPr>
      <w:bookmarkStart w:id="10523" w:name="litID0EEZAG"/>
      <w:bookmarkEnd w:id="10523"/>
      <w:r>
        <w:rPr/>
        <w:t xml:space="preserve">Schrezenmeier H, Passweg J, Marsh JC et al.: Worse outcome and more chronic GVHD with peripheral blood progenitor cells than bone marrow in HLA-matched sibling donor transplants for young patients with severe acquired aplastic anemia. Blood 110:1397-1400, 2007. </w:t>
      </w:r>
      <w:hyperlink r:id="rIdex_ID0EFVAG">
        <w:r>
          <w:rPr>
            <w:rStyle w:val="Hyperlink"/>
          </w:rPr>
          <w:t xml:space="preserve">DOI: </w:t>
        </w:r>
      </w:hyperlink>
      <w:hyperlink r:id="rIdex_ID0EKVAG">
        <w:r>
          <w:rPr>
            <w:rStyle w:val="Hyperlink"/>
          </w:rPr>
          <w:t xml:space="preserve">10.1182/</w:t>
        </w:r>
      </w:hyperlink>
      <w:hyperlink r:id="rIdex_ID0EOVAG">
        <w:r>
          <w:rPr>
            <w:rStyle w:val="Hyperlink"/>
          </w:rPr>
          <w:t xml:space="preserve"> blood-2007-03-081596</w:t>
        </w:r>
      </w:hyperlink>
    </w:p>
    <w:p>
      <w:pPr>
        <w:pStyle w:val="Literaturverzeichnis"/>
        <w:numPr>
          <w:ilvl w:val="0"/>
          <w:numId w:val="61"/>
        </w:numPr>
        <w:rPr/>
      </w:pPr>
      <w:bookmarkStart w:id="10527" w:name="litID0E3ZAG"/>
      <w:bookmarkEnd w:id="10527"/>
      <w:r>
        <w:rPr/>
        <w:t xml:space="preserve">Bacigalupo A, Socié G, Schrezenmeier H et al.: Bone marrow versus peripheral blood sibling transplants in acquired aplastic anemia: survival </w:t>
      </w:r>
      <w:hyperlink r:id="rIdex_ID0EYVAG">
        <w:r>
          <w:rPr>
            <w:rStyle w:val="Hyperlink"/>
          </w:rPr>
          <w:t xml:space="preserve">10.3324/haematol.2011.054841</w:t>
        </w:r>
      </w:hyperlink>
    </w:p>
    <w:p>
      <w:pPr>
        <w:pStyle w:val="Literaturverzeichnis"/>
        <w:numPr>
          <w:ilvl w:val="0"/>
          <w:numId w:val="61"/>
        </w:numPr>
        <w:rPr/>
      </w:pPr>
      <w:bookmarkStart w:id="10529" w:name="litID0EH1AG"/>
      <w:bookmarkEnd w:id="10529"/>
      <w:r>
        <w:rPr/>
        <w:t xml:space="preserve">Champlin RE, Perez WS, Passweg JR et al.: B Bone marrow transplantation for severe aplastic anemia: a randomized controlled study of conditioning    regimens.    Blood    109:4582-4585,   2007.    </w:t>
      </w:r>
      <w:hyperlink r:id="rIdex_ID0ECWAG">
        <w:r>
          <w:rPr>
            <w:rStyle w:val="Hyperlink"/>
          </w:rPr>
          <w:t xml:space="preserve">DOI:    </w:t>
        </w:r>
      </w:hyperlink>
      <w:hyperlink r:id="rIdex_ID0EHWAG">
        <w:r>
          <w:rPr>
            <w:rStyle w:val="Hyperlink"/>
          </w:rPr>
          <w:t xml:space="preserve">10.1182/</w:t>
        </w:r>
      </w:hyperlink>
      <w:hyperlink r:id="rIdex_ID0ELWAG">
        <w:r>
          <w:rPr>
            <w:rStyle w:val="Hyperlink"/>
          </w:rPr>
          <w:t xml:space="preserve"> blood-2006-10-052308</w:t>
        </w:r>
      </w:hyperlink>
    </w:p>
    <w:p>
      <w:pPr>
        <w:pStyle w:val="Literaturverzeichnis"/>
        <w:numPr>
          <w:ilvl w:val="0"/>
          <w:numId w:val="61"/>
        </w:numPr>
        <w:rPr/>
      </w:pPr>
      <w:bookmarkStart w:id="10533" w:name="litID0E61AG"/>
      <w:bookmarkEnd w:id="10533"/>
      <w:r>
        <w:rPr/>
        <w:t xml:space="preserve">Maury S, Bacigalupo A, Anderlini P et al.: Improved outcome of patients older than 30 years receiving HLA-identical sibling hematopoietic stem cell transplantation for severe acquired aplastic anemia using fludarabine-based conditioning: a comparison with conventional conditioning regimen. Haematologica. 94:1312-1315, 2009. </w:t>
      </w:r>
      <w:hyperlink r:id="rIdex_ID0EVWAG">
        <w:r>
          <w:rPr>
            <w:rStyle w:val="Hyperlink"/>
          </w:rPr>
          <w:t xml:space="preserve">DOI: </w:t>
        </w:r>
      </w:hyperlink>
      <w:hyperlink r:id="rIdex_ID0E1WAG">
        <w:r>
          <w:rPr>
            <w:rStyle w:val="Hyperlink"/>
          </w:rPr>
          <w:t xml:space="preserve">10.3324/</w:t>
        </w:r>
      </w:hyperlink>
      <w:hyperlink r:id="rIdex_ID0E5WAG">
        <w:r>
          <w:rPr>
            <w:rStyle w:val="Hyperlink"/>
          </w:rPr>
          <w:t xml:space="preserve"> haematol.2009.006916</w:t>
        </w:r>
      </w:hyperlink>
    </w:p>
    <w:p>
      <w:pPr>
        <w:pStyle w:val="Literaturverzeichnis"/>
        <w:numPr>
          <w:ilvl w:val="0"/>
          <w:numId w:val="61"/>
        </w:numPr>
        <w:rPr/>
      </w:pPr>
      <w:bookmarkStart w:id="10537" w:name="litID0EX2AG"/>
      <w:bookmarkEnd w:id="10537"/>
      <w:r>
        <w:rPr/>
        <w:t xml:space="preserve">Gupta V, Ball SE, Yi QL et al.: Favorable effect on acute and chronic graft-versus-host disease with cyclophosphamide and in vivo anti-CD52 monoclonal antibodies for marrow transplantation from HLA-identical sibling donors  for  acquired  aplastic  anemia.  Biol  Blood  Marrow  Transplant 10:867-876, 2004. </w:t>
      </w:r>
      <w:hyperlink r:id="rIdex_ID0EIXAG">
        <w:r>
          <w:rPr>
            <w:rStyle w:val="Hyperlink"/>
          </w:rPr>
          <w:t xml:space="preserve">DOI: </w:t>
        </w:r>
      </w:hyperlink>
      <w:hyperlink r:id="rIdex_ID0ENXAG">
        <w:r>
          <w:rPr>
            <w:rStyle w:val="Hyperlink"/>
          </w:rPr>
          <w:t xml:space="preserve">10.1016/j.bbmt.2004.09.001</w:t>
        </w:r>
      </w:hyperlink>
    </w:p>
    <w:p>
      <w:pPr>
        <w:pStyle w:val="Literaturverzeichnis"/>
        <w:numPr>
          <w:ilvl w:val="0"/>
          <w:numId w:val="61"/>
        </w:numPr>
        <w:rPr/>
      </w:pPr>
      <w:bookmarkStart w:id="10540" w:name="litID0EJ3AG"/>
      <w:bookmarkEnd w:id="10540"/>
      <w:r>
        <w:rPr/>
        <w:t xml:space="preserve">Locatelli F,  Bruno  B,  Zecca  M  et  al.:  Cyclosporin A  and  short-term methotrexate versus cyclosporin A as graft versus host disease prophylaxis in patients with severe aplastic anemia given allogeneic bone marrow transplantation from an HLA-identical sibling: results of a GITMO/EBMT randomized trial. Blood 96:1690-1697, 2000. </w:t>
      </w:r>
      <w:hyperlink r:id="rIdex_ID0EXXAG">
        <w:r>
          <w:rPr>
            <w:rStyle w:val="Hyperlink"/>
          </w:rPr>
          <w:t xml:space="preserve">PMID: 10961865</w:t>
        </w:r>
      </w:hyperlink>
    </w:p>
    <w:p>
      <w:pPr>
        <w:pStyle w:val="Literaturverzeichnis"/>
        <w:numPr>
          <w:ilvl w:val="0"/>
          <w:numId w:val="61"/>
        </w:numPr>
        <w:rPr/>
      </w:pPr>
      <w:bookmarkStart w:id="10542" w:name="litID0EV3AG"/>
      <w:bookmarkEnd w:id="10542"/>
      <w:r>
        <w:rPr/>
        <w:t xml:space="preserve">Schrezenmeier H: Guidelines for treating aplastic anemia: consensus document of a group of international experts. In Aplastic Anemia-Pathophysiology and Treatment. Cambride University Press 308-315, 2000. ISBN 0 521 64101 2</w:t>
      </w:r>
    </w:p>
    <w:p>
      <w:pPr>
        <w:pStyle w:val="Literaturverzeichnis"/>
        <w:numPr>
          <w:ilvl w:val="0"/>
          <w:numId w:val="61"/>
        </w:numPr>
        <w:rPr/>
      </w:pPr>
      <w:bookmarkStart w:id="10543" w:name="litID0E13AG"/>
      <w:bookmarkEnd w:id="10543"/>
      <w:r>
        <w:rPr/>
        <w:t xml:space="preserve">McCann S, Passweg J, Bacigalupo A et al.: The influence of cyclosporin alone, or cyclosporin and methotrexate, on the incidence of mixed haematopoietic chimaerism following allogeneic sibling bone marrow transplantation for severe aplastic anaemia. Bone Marrow Transplant. 2007;39:109-114, 2007. </w:t>
      </w:r>
      <w:hyperlink r:id="rIdex_ID0EHYAG">
        <w:r>
          <w:rPr>
            <w:rStyle w:val="Hyperlink"/>
          </w:rPr>
          <w:t xml:space="preserve">DOI: </w:t>
        </w:r>
      </w:hyperlink>
      <w:hyperlink r:id="rIdex_ID0EMYAG">
        <w:r>
          <w:rPr>
            <w:rStyle w:val="Hyperlink"/>
          </w:rPr>
          <w:t xml:space="preserve">10.1038/sj.bmt.1705552</w:t>
        </w:r>
      </w:hyperlink>
    </w:p>
    <w:p>
      <w:pPr>
        <w:pStyle w:val="Literaturverzeichnis"/>
        <w:numPr>
          <w:ilvl w:val="0"/>
          <w:numId w:val="61"/>
        </w:numPr>
        <w:rPr/>
      </w:pPr>
      <w:bookmarkStart w:id="10546" w:name="litID0EM4AG"/>
      <w:bookmarkEnd w:id="10546"/>
      <w:r>
        <w:rPr/>
        <w:t xml:space="preserve">Lawler M, McCann SR, Marsh JC et al.: Serial chimerism analyses indicate that mixed haemopoietic chimerism influences the probability of graft rejection and disease recurrence following allogeneic stem cell transplantation (SCT) for severe aplastic anaemia (SAA): indication for routine assessment of chimerism post SCT for SAA. Br J Haematol 144:933-945, 2009.</w:t>
      </w:r>
      <w:hyperlink r:id="rIdex_ID0EWYAG">
        <w:r>
          <w:rPr>
            <w:rStyle w:val="Hyperlink"/>
          </w:rPr>
          <w:t xml:space="preserve"> DOI: </w:t>
        </w:r>
      </w:hyperlink>
      <w:hyperlink r:id="rIdex_ID0E2YAG">
        <w:r>
          <w:rPr>
            <w:rStyle w:val="Hyperlink"/>
          </w:rPr>
          <w:t xml:space="preserve">10.1111/j.1365-2141.2008.07533.x</w:t>
        </w:r>
      </w:hyperlink>
    </w:p>
    <w:p>
      <w:pPr>
        <w:pStyle w:val="Literaturverzeichnis"/>
        <w:numPr>
          <w:ilvl w:val="0"/>
          <w:numId w:val="61"/>
        </w:numPr>
        <w:rPr/>
      </w:pPr>
      <w:bookmarkStart w:id="10549" w:name="litID0E54AG"/>
      <w:bookmarkEnd w:id="10549"/>
      <w:r>
        <w:rPr/>
        <w:t xml:space="preserve">Führer M: Risk-adapted procedures for HSCT from alternative donor in children with severe aplastic anaemia. Bone Marrow Transplant 42 Suppl 2:S97-100, 2008. </w:t>
      </w:r>
      <w:hyperlink r:id="rIdex_ID0EFZAG">
        <w:r>
          <w:rPr>
            <w:rStyle w:val="Hyperlink"/>
          </w:rPr>
          <w:t xml:space="preserve">DOI: </w:t>
        </w:r>
      </w:hyperlink>
      <w:hyperlink r:id="rIdex_ID0EKZAG">
        <w:r>
          <w:rPr>
            <w:rStyle w:val="Hyperlink"/>
          </w:rPr>
          <w:t xml:space="preserve">10.1038/bmt.2008.293</w:t>
        </w:r>
      </w:hyperlink>
    </w:p>
    <w:p>
      <w:pPr>
        <w:pStyle w:val="Literaturverzeichnis"/>
        <w:numPr>
          <w:ilvl w:val="0"/>
          <w:numId w:val="61"/>
        </w:numPr>
        <w:rPr/>
      </w:pPr>
      <w:bookmarkStart w:id="10552" w:name="litID0EQ5AG"/>
      <w:bookmarkEnd w:id="10552"/>
      <w:r>
        <w:rPr/>
        <w:t xml:space="preserve">Maury S, Balere-Appert ML, Chir Z et al.: Unrelated stem cell transplantation for severe acquired aplastic anemia: improved outcome in the era of high-resolution HLA matching between donor and recipient. Haematologica 92:589-596, 2007. </w:t>
      </w:r>
      <w:hyperlink r:id="rIdex_ID0EUZAG">
        <w:r>
          <w:rPr>
            <w:rStyle w:val="Hyperlink"/>
          </w:rPr>
          <w:t xml:space="preserve">PMID: 17488681</w:t>
        </w:r>
      </w:hyperlink>
    </w:p>
    <w:p>
      <w:pPr>
        <w:pStyle w:val="Literaturverzeichnis"/>
        <w:numPr>
          <w:ilvl w:val="0"/>
          <w:numId w:val="61"/>
        </w:numPr>
        <w:rPr/>
      </w:pPr>
      <w:bookmarkStart w:id="10554" w:name="litID0E35AG"/>
      <w:bookmarkEnd w:id="10554"/>
      <w:r>
        <w:rPr/>
        <w:t xml:space="preserve">Bacigalupo A, Locatelli F, Lanino E et al.: Fludarabine, cyclophosphamide and anti-thymocyte globulin for alternative donor transplants in acquired severe aplastic anemia: a report from the EBMT-SAA Working Party. Bone Marrow Transplant 36:947-950. 2005. </w:t>
      </w:r>
      <w:hyperlink r:id="rIdex_ID0E6ZAG">
        <w:r>
          <w:rPr>
            <w:rStyle w:val="Hyperlink"/>
          </w:rPr>
          <w:t xml:space="preserve">DOI: </w:t>
        </w:r>
      </w:hyperlink>
      <w:hyperlink r:id="rIdex_ID0EE1AG">
        <w:r>
          <w:rPr>
            <w:rStyle w:val="Hyperlink"/>
          </w:rPr>
          <w:t xml:space="preserve">10.1038/sj.bmt.1705165</w:t>
        </w:r>
      </w:hyperlink>
    </w:p>
    <w:p>
      <w:pPr>
        <w:pStyle w:val="Literaturverzeichnis"/>
        <w:numPr>
          <w:ilvl w:val="0"/>
          <w:numId w:val="61"/>
        </w:numPr>
        <w:rPr/>
      </w:pPr>
      <w:bookmarkStart w:id="10557" w:name="litID0EO6AG"/>
      <w:bookmarkEnd w:id="10557"/>
      <w:r>
        <w:rPr/>
        <w:t xml:space="preserve">Bacigalupo A, Socié G, Lanino E et al.: Fludarabine, cyclophosphamide, antithymocyte globulin, with or without low dose total body irradiation, for alternative donor transplants, in acquired severe aplastic anemia: a 95:976-982, 2010. </w:t>
      </w:r>
      <w:hyperlink r:id="rIdex_ID0EO1AG">
        <w:r>
          <w:rPr>
            <w:rStyle w:val="Hyperlink"/>
          </w:rPr>
          <w:t xml:space="preserve">DOI: </w:t>
        </w:r>
      </w:hyperlink>
      <w:hyperlink r:id="rIdex_ID0ET1AG">
        <w:r>
          <w:rPr>
            <w:rStyle w:val="Hyperlink"/>
          </w:rPr>
          <w:t xml:space="preserve">10.3324/haematol.2009.018267</w:t>
        </w:r>
      </w:hyperlink>
    </w:p>
    <w:p>
      <w:pPr>
        <w:pStyle w:val="Literaturverzeichnis"/>
        <w:numPr>
          <w:ilvl w:val="0"/>
          <w:numId w:val="61"/>
        </w:numPr>
        <w:rPr/>
      </w:pPr>
      <w:bookmarkStart w:id="10560" w:name="litID0E66AG"/>
      <w:bookmarkEnd w:id="10560"/>
      <w:r>
        <w:rPr/>
        <w:t xml:space="preserve">Marsh JC, Gupta V, Lim Z et al.: Alemtuzumab with fludarabine and cyclophosphamide reduces chronic graft-versus-host disease after allogeneic stem cell transplantation for acquired aplastic anemia. Blood 118:2351-2357, 2011. </w:t>
      </w:r>
      <w:hyperlink r:id="rIdex_ID0E41AG">
        <w:r>
          <w:rPr>
            <w:rStyle w:val="Hyperlink"/>
          </w:rPr>
          <w:t xml:space="preserve">DOI 10.1182/blood-2010-12-327536</w:t>
        </w:r>
      </w:hyperlink>
    </w:p>
    <w:p>
      <w:pPr>
        <w:pStyle w:val="Literaturverzeichnis"/>
        <w:numPr>
          <w:ilvl w:val="0"/>
          <w:numId w:val="61"/>
        </w:numPr>
        <w:rPr/>
      </w:pPr>
      <w:bookmarkStart w:id="10562" w:name="litID0ELABG"/>
      <w:bookmarkEnd w:id="10562"/>
      <w:r>
        <w:rPr/>
        <w:t xml:space="preserve">Deeg HJ, Amylon ID, Harris RE et al.: Marrow transplants from unrelated donors for patients with aplastic anemia: minimum effective dose of total body irradiation. Biol Blood Marrow Transplant 7:208-215, 2001. </w:t>
      </w:r>
      <w:hyperlink r:id="rIdex_ID0EH2AG">
        <w:r>
          <w:rPr>
            <w:rStyle w:val="Hyperlink"/>
          </w:rPr>
          <w:t xml:space="preserve">PMID:</w:t>
        </w:r>
      </w:hyperlink>
      <w:r>
        <w:rPr/>
        <w:t xml:space="preserve"> </w:t>
      </w:r>
      <w:hyperlink r:id="rIdex_ID0EN2AG">
        <w:r>
          <w:rPr>
            <w:rStyle w:val="Hyperlink"/>
          </w:rPr>
          <w:t xml:space="preserve">11349807</w:t>
        </w:r>
      </w:hyperlink>
    </w:p>
    <w:p>
      <w:pPr>
        <w:pStyle w:val="Literaturverzeichnis"/>
        <w:numPr>
          <w:ilvl w:val="0"/>
          <w:numId w:val="61"/>
        </w:numPr>
        <w:rPr/>
      </w:pPr>
      <w:bookmarkStart w:id="10565" w:name="litID0E5ABG"/>
      <w:bookmarkEnd w:id="10565"/>
      <w:r>
        <w:rPr/>
        <w:t xml:space="preserve">Deeg HJ, O’Donell M, Tolar J et al.: Optimization of Conditioning for Marrow Transplantation from Unrelated Donors for Patients with Aplastic Anemia    After    Failure    of    Immunosuppressive    Therapy.    Blood 108:1485-1491, 2006. </w:t>
      </w:r>
      <w:hyperlink r:id="rIdex_ID0EX2AG">
        <w:r>
          <w:rPr>
            <w:rStyle w:val="Hyperlink"/>
          </w:rPr>
          <w:t xml:space="preserve">DOI: </w:t>
        </w:r>
      </w:hyperlink>
      <w:hyperlink r:id="rIdex_ID0E32AG">
        <w:r>
          <w:rPr>
            <w:rStyle w:val="Hyperlink"/>
          </w:rPr>
          <w:t xml:space="preserve">10.1182/blood-2006-03-005041</w:t>
        </w:r>
      </w:hyperlink>
    </w:p>
    <w:p>
      <w:pPr>
        <w:pStyle w:val="Literaturverzeichnis"/>
        <w:numPr>
          <w:ilvl w:val="0"/>
          <w:numId w:val="61"/>
        </w:numPr>
        <w:rPr/>
      </w:pPr>
      <w:bookmarkStart w:id="10568" w:name="litID0EQBBG"/>
      <w:bookmarkEnd w:id="10568"/>
      <w:r>
        <w:rPr/>
        <w:t xml:space="preserve">Kim SY, Lee LW, Lim J et al.: Unrelated donor bone marrow transplants for severe aplastic anemia with conditioning using total body irradiation and cyclophosphamide. Biol Blood Marrow Transplant 13:863-870, 2007. </w:t>
      </w:r>
      <w:hyperlink r:id="rIdex_ID0EG3AG">
        <w:r>
          <w:rPr>
            <w:rStyle w:val="Hyperlink"/>
          </w:rPr>
          <w:t xml:space="preserve">DOI: </w:t>
        </w:r>
      </w:hyperlink>
      <w:hyperlink r:id="rIdex_ID0EL3AG">
        <w:r>
          <w:rPr>
            <w:rStyle w:val="Hyperlink"/>
          </w:rPr>
          <w:t xml:space="preserve">10.1016/j.bbmt.2007.03.013</w:t>
        </w:r>
      </w:hyperlink>
    </w:p>
    <w:p>
      <w:pPr>
        <w:pStyle w:val="Literaturverzeichnis"/>
        <w:numPr>
          <w:ilvl w:val="0"/>
          <w:numId w:val="61"/>
        </w:numPr>
        <w:rPr/>
      </w:pPr>
      <w:bookmarkStart w:id="10571" w:name="litID0ECCBG"/>
      <w:bookmarkEnd w:id="10571"/>
      <w:r>
        <w:rPr/>
        <w:t xml:space="preserve">Tichelli A, Socié G, Henry-Amar M et al.: Effectiveness of immunosuppressive therapy in older patients with aplastic anemia. European Group for Blood and Marrow Transplantation Severe Aplastic Anaemia Working Party. Ann Intern Med 130:193-201, 1999. P </w:t>
      </w:r>
      <w:hyperlink r:id="rIdex_ID0EV3AG">
        <w:r>
          <w:rPr>
            <w:rStyle w:val="Hyperlink"/>
          </w:rPr>
          <w:t xml:space="preserve">MID: 10049197</w:t>
        </w:r>
      </w:hyperlink>
    </w:p>
    <w:p>
      <w:pPr>
        <w:pStyle w:val="Literaturverzeichnis"/>
        <w:numPr>
          <w:ilvl w:val="0"/>
          <w:numId w:val="61"/>
        </w:numPr>
        <w:rPr/>
      </w:pPr>
      <w:bookmarkStart w:id="10573" w:name="litID0EOCBG"/>
      <w:bookmarkEnd w:id="10573"/>
      <w:r>
        <w:rPr/>
        <w:t xml:space="preserve">Kao SY, Xu W, Brandwein JM et al.: Outcomes of older patients (&gt; or = 60 years) with acquired aplastic anaemia treated with immunosuppressive therapy. Br J Haematol 143:738-743, 2008. </w:t>
      </w:r>
      <w:hyperlink r:id="rIdex_ID0E63AG">
        <w:r>
          <w:rPr>
            <w:rStyle w:val="Hyperlink"/>
          </w:rPr>
          <w:t xml:space="preserve">DOI: </w:t>
        </w:r>
      </w:hyperlink>
      <w:hyperlink r:id="rIdex_ID0EE4AG">
        <w:r>
          <w:rPr>
            <w:rStyle w:val="Hyperlink"/>
          </w:rPr>
          <w:t xml:space="preserve">10.1111/</w:t>
        </w:r>
      </w:hyperlink>
      <w:hyperlink r:id="rIdex_ID0EI4AG">
        <w:r>
          <w:rPr>
            <w:rStyle w:val="Hyperlink"/>
          </w:rPr>
          <w:t xml:space="preserve"> j.1365-2141.2008.07389.x</w:t>
        </w:r>
      </w:hyperlink>
    </w:p>
    <w:p>
      <w:pPr>
        <w:pStyle w:val="Literaturverzeichnis"/>
        <w:numPr>
          <w:ilvl w:val="0"/>
          <w:numId w:val="61"/>
        </w:numPr>
        <w:rPr/>
      </w:pPr>
      <w:bookmarkStart w:id="10577" w:name="litID0EGDBG"/>
      <w:bookmarkEnd w:id="10577"/>
      <w:r>
        <w:rPr/>
        <w:t xml:space="preserve">Frickhofen N, Kaltwasser JP, Schrezenmeier H et al.: Treatment of aplastic anemia with antilymphocyte globulin and methylprednisolone with or without cyclosporine. The German Aplastic Anemia Study Group. N Engl J Med 324:1297-1304, 1991. </w:t>
      </w:r>
      <w:hyperlink r:id="rIdex_ID0ES4AG">
        <w:r>
          <w:rPr>
            <w:rStyle w:val="Hyperlink"/>
          </w:rPr>
          <w:t xml:space="preserve">PMID: 2017225</w:t>
        </w:r>
      </w:hyperlink>
    </w:p>
    <w:p>
      <w:pPr>
        <w:pStyle w:val="Literaturverzeichnis"/>
        <w:numPr>
          <w:ilvl w:val="0"/>
          <w:numId w:val="61"/>
        </w:numPr>
        <w:rPr/>
      </w:pPr>
      <w:bookmarkStart w:id="10579" w:name="litID0ERDBG"/>
      <w:bookmarkEnd w:id="10579"/>
      <w:r>
        <w:rPr/>
        <w:t xml:space="preserve">Frickhofen N, Heimpel H, Kaltwasser JP and Schrezenmeier H: Antithymocyte globulin with or without cyclosporin A: 11-year follow-up of a randomized  trial  comparing  treatments  of  aplastic  anemia.  Blood 101:1236-1242, 2003. </w:t>
      </w:r>
      <w:hyperlink r:id="rIdex_ID0E44AG">
        <w:r>
          <w:rPr>
            <w:rStyle w:val="Hyperlink"/>
          </w:rPr>
          <w:t xml:space="preserve">DOI: 1 </w:t>
        </w:r>
      </w:hyperlink>
      <w:hyperlink r:id="rIdex_ID0EC5AG">
        <w:r>
          <w:rPr>
            <w:rStyle w:val="Hyperlink"/>
          </w:rPr>
          <w:t xml:space="preserve">0.1182/blood-2002-04-1134</w:t>
        </w:r>
      </w:hyperlink>
    </w:p>
    <w:p>
      <w:pPr>
        <w:pStyle w:val="Literaturverzeichnis"/>
        <w:numPr>
          <w:ilvl w:val="0"/>
          <w:numId w:val="61"/>
        </w:numPr>
        <w:rPr/>
      </w:pPr>
      <w:bookmarkStart w:id="10582" w:name="litID0EDEBG"/>
      <w:bookmarkEnd w:id="10582"/>
      <w:r>
        <w:rPr/>
        <w:t xml:space="preserve">Rosenfeld SJ, Kimball J, Vining D and Young NS: Intensive immunosuppression with antithymocyte globulin and cyclosporine as treatment for severe  acquired  aplastic  anemia.  Blood  85:3058-3065,  1995.  </w:t>
      </w:r>
      <w:hyperlink r:id="rIdex_ID0EM5AG">
        <w:r>
          <w:rPr>
            <w:rStyle w:val="Hyperlink"/>
          </w:rPr>
          <w:t xml:space="preserve">PMID:</w:t>
        </w:r>
      </w:hyperlink>
      <w:r>
        <w:rPr/>
        <w:t xml:space="preserve"> </w:t>
      </w:r>
      <w:hyperlink r:id="rIdex_ID0ES5AG">
        <w:r>
          <w:rPr>
            <w:rStyle w:val="Hyperlink"/>
          </w:rPr>
          <w:t xml:space="preserve">7756640</w:t>
        </w:r>
      </w:hyperlink>
    </w:p>
    <w:p>
      <w:pPr>
        <w:pStyle w:val="Literaturverzeichnis"/>
        <w:numPr>
          <w:ilvl w:val="0"/>
          <w:numId w:val="61"/>
        </w:numPr>
        <w:rPr/>
      </w:pPr>
      <w:bookmarkStart w:id="10585" w:name="litID0EWEBG"/>
      <w:bookmarkEnd w:id="10585"/>
      <w:r>
        <w:rPr/>
        <w:t xml:space="preserve">Scheinberg P, Nunez O, Wu C and Young NS: Treatment of severe aplastic anaemia with combined immunosuppression: anti-thymocyte globulin, ciclosporin  and  mycophenolate mofetil.  Br  J  Haematol  133:606-611, 2006.</w:t>
      </w:r>
      <w:hyperlink r:id="rIdex_ID0E35AG">
        <w:r>
          <w:rPr>
            <w:rStyle w:val="Hyperlink"/>
          </w:rPr>
          <w:t xml:space="preserve"> DOI: </w:t>
        </w:r>
      </w:hyperlink>
      <w:hyperlink r:id="rIdex_ID0EB6AG">
        <w:r>
          <w:rPr>
            <w:rStyle w:val="Hyperlink"/>
          </w:rPr>
          <w:t xml:space="preserve">10.1111/j.1365-2141.2006.06085.x</w:t>
        </w:r>
      </w:hyperlink>
    </w:p>
    <w:p>
      <w:pPr>
        <w:pStyle w:val="Literaturverzeichnis"/>
        <w:numPr>
          <w:ilvl w:val="0"/>
          <w:numId w:val="61"/>
        </w:numPr>
        <w:rPr/>
      </w:pPr>
      <w:bookmarkStart w:id="10588" w:name="litID0EIFBG"/>
      <w:bookmarkEnd w:id="10588"/>
      <w:r>
        <w:rPr/>
        <w:t xml:space="preserve">Scheinberg P, Wu CO, Nunez O et al.: Treatment of severe aplastic anemia with a combination of horse antithymocyte globulin and cyclosporine, with or without sirolimus: a prospective randomized study. Haematologica 94:348-354, 2009. </w:t>
      </w:r>
      <w:hyperlink r:id="rIdex_ID0EL6AG">
        <w:r>
          <w:rPr>
            <w:rStyle w:val="Hyperlink"/>
          </w:rPr>
          <w:t xml:space="preserve">DOI: </w:t>
        </w:r>
      </w:hyperlink>
      <w:hyperlink r:id="rIdex_ID0EQ6AG">
        <w:r>
          <w:rPr>
            <w:rStyle w:val="Hyperlink"/>
          </w:rPr>
          <w:t xml:space="preserve">10.3324/haematol.13829</w:t>
        </w:r>
      </w:hyperlink>
    </w:p>
    <w:p>
      <w:pPr>
        <w:pStyle w:val="Literaturverzeichnis"/>
        <w:numPr>
          <w:ilvl w:val="0"/>
          <w:numId w:val="61"/>
        </w:numPr>
        <w:rPr/>
      </w:pPr>
      <w:bookmarkStart w:id="10591" w:name="litID0E1FBG"/>
      <w:bookmarkEnd w:id="10591"/>
      <w:r>
        <w:rPr/>
        <w:t xml:space="preserve">Scheinberg P, Wu CO, Nunez O and Young NS: Predicting response to immunosuppressive therapy and survival in severe aplastic anaemia. Br J Haematol 144:206-216, 2009. </w:t>
      </w:r>
      <w:hyperlink r:id="rIdex_ID0E16AG">
        <w:r>
          <w:rPr>
            <w:rStyle w:val="Hyperlink"/>
          </w:rPr>
          <w:t xml:space="preserve">DOI: </w:t>
        </w:r>
      </w:hyperlink>
      <w:hyperlink r:id="rIdex_ID0E66AG">
        <w:r>
          <w:rPr>
            <w:rStyle w:val="Hyperlink"/>
          </w:rPr>
          <w:t xml:space="preserve">10.1111/j.1365-2141.2008.07450.x</w:t>
        </w:r>
      </w:hyperlink>
    </w:p>
    <w:p>
      <w:pPr>
        <w:pStyle w:val="Literaturverzeichnis"/>
        <w:numPr>
          <w:ilvl w:val="0"/>
          <w:numId w:val="61"/>
        </w:numPr>
        <w:rPr/>
      </w:pPr>
      <w:bookmarkStart w:id="10594" w:name="litID0EMGBG"/>
      <w:bookmarkEnd w:id="10594"/>
      <w:r>
        <w:rPr/>
        <w:t xml:space="preserve">Bacigalupo A, Chaple M, Hows J et al.: Treatment of aplastic anaemia (AA) with antilymphocyte globulin (ALG) and methylprednisolone (MPred) with or without androgens: a randomized trial from the EBMT SAA working party. Br J Haematol 83:145-151, 1993. </w:t>
      </w:r>
      <w:hyperlink r:id="rIdex_ID0EJABG">
        <w:r>
          <w:rPr>
            <w:rStyle w:val="Hyperlink"/>
          </w:rPr>
          <w:t xml:space="preserve">PMID: 8435323</w:t>
        </w:r>
      </w:hyperlink>
    </w:p>
    <w:p>
      <w:pPr>
        <w:pStyle w:val="Literaturverzeichnis"/>
        <w:numPr>
          <w:ilvl w:val="0"/>
          <w:numId w:val="61"/>
        </w:numPr>
        <w:rPr/>
      </w:pPr>
      <w:bookmarkStart w:id="10596" w:name="litID0EYGBG"/>
      <w:bookmarkEnd w:id="10596"/>
      <w:r>
        <w:rPr/>
        <w:t xml:space="preserve">Tisdale JF, Dunn DE, Geller N et al.: High-dose cyclophosphamide in severe  aplastic anaemia: a  randomised trial.  Lancet 356:1554-1559, 2000. </w:t>
      </w:r>
      <w:hyperlink r:id="rIdex_ID0EUABG">
        <w:r>
          <w:rPr>
            <w:rStyle w:val="Hyperlink"/>
          </w:rPr>
          <w:t xml:space="preserve">PMID: 11075769</w:t>
        </w:r>
      </w:hyperlink>
    </w:p>
    <w:p>
      <w:pPr>
        <w:pStyle w:val="Literaturverzeichnis"/>
        <w:numPr>
          <w:ilvl w:val="0"/>
          <w:numId w:val="61"/>
        </w:numPr>
        <w:rPr/>
      </w:pPr>
      <w:bookmarkStart w:id="10598" w:name="litID0EEHBG"/>
      <w:bookmarkEnd w:id="10598"/>
      <w:r>
        <w:rPr/>
        <w:t xml:space="preserve">Tichelli A, Schrezenmeier H, Socié G et al.: A randomized controlled study in patients with newly diagnosed severe aplastic anemia receiving antithymocyte globulin (ATG), cyclosporine, with or without G-CSF: a study of the SAA Working Party of the European Group for Blood and Marrow Transplantation. Blood 117:4434-4441, 2011. </w:t>
      </w:r>
      <w:hyperlink r:id="rIdex_ID0E6ABG">
        <w:r>
          <w:rPr>
            <w:rStyle w:val="Hyperlink"/>
          </w:rPr>
          <w:t xml:space="preserve">DOI: </w:t>
        </w:r>
      </w:hyperlink>
      <w:hyperlink r:id="rIdex_ID0EEBBG">
        <w:r>
          <w:rPr>
            <w:rStyle w:val="Hyperlink"/>
          </w:rPr>
          <w:t xml:space="preserve">10.1182/</w:t>
        </w:r>
      </w:hyperlink>
      <w:hyperlink r:id="rIdex_ID0EIBBG">
        <w:r>
          <w:rPr>
            <w:rStyle w:val="Hyperlink"/>
          </w:rPr>
          <w:t xml:space="preserve"> blood-2010-08-304071</w:t>
        </w:r>
      </w:hyperlink>
    </w:p>
    <w:p>
      <w:pPr>
        <w:pStyle w:val="Literaturverzeichnis"/>
        <w:numPr>
          <w:ilvl w:val="0"/>
          <w:numId w:val="61"/>
        </w:numPr>
        <w:rPr/>
      </w:pPr>
      <w:bookmarkStart w:id="10602" w:name="litID0E3HBG"/>
      <w:bookmarkEnd w:id="10602"/>
      <w:r>
        <w:rPr/>
        <w:t xml:space="preserve">Marsh J, Schrezenmeier H, Marin P et al.: Prospective randomized multicenter study comparing cyclosporin alone versus the combination of antithymocyte globulin and cyclosporin for treatment of patients with nonsevere aplastic anemia: a report from the European Blood and Marrow Transplant  (EBMT)  Severe  Aplastic  Anaemia  Working  Party.  Blood 93:2191-2195, 1999. </w:t>
      </w:r>
      <w:hyperlink r:id="rIdex_ID0ESBBG">
        <w:r>
          <w:rPr>
            <w:rStyle w:val="Hyperlink"/>
          </w:rPr>
          <w:t xml:space="preserve">PMID: 10090926</w:t>
        </w:r>
      </w:hyperlink>
    </w:p>
    <w:p>
      <w:pPr>
        <w:pStyle w:val="Literaturverzeichnis"/>
        <w:numPr>
          <w:ilvl w:val="0"/>
          <w:numId w:val="61"/>
        </w:numPr>
        <w:rPr/>
      </w:pPr>
      <w:bookmarkStart w:id="10604" w:name="litID0EIIBG"/>
      <w:bookmarkEnd w:id="10604"/>
      <w:r>
        <w:rPr/>
        <w:t xml:space="preserve">EBMTG SAA Working Party: Rabbit ATG for aplastic anaemia treatment: a  backward step?  Lancet  378:1831-1833, 2011.  </w:t>
      </w:r>
      <w:hyperlink r:id="rIdex_ID0E4BBG">
        <w:r>
          <w:rPr>
            <w:rStyle w:val="Hyperlink"/>
          </w:rPr>
          <w:t xml:space="preserve">DOI:10.1016/S0140-</w:t>
        </w:r>
      </w:hyperlink>
      <w:hyperlink r:id="rIdex_ID0ECCBG">
        <w:r>
          <w:rPr>
            <w:rStyle w:val="Hyperlink"/>
          </w:rPr>
          <w:t xml:space="preserve">6736(11)60817-9</w:t>
        </w:r>
      </w:hyperlink>
    </w:p>
    <w:p>
      <w:pPr>
        <w:pStyle w:val="Literaturverzeichnis"/>
        <w:numPr>
          <w:ilvl w:val="0"/>
          <w:numId w:val="61"/>
        </w:numPr>
        <w:rPr/>
      </w:pPr>
      <w:bookmarkStart w:id="10607" w:name="litID0E1IBG"/>
      <w:bookmarkEnd w:id="10607"/>
      <w:r>
        <w:rPr/>
        <w:t xml:space="preserve">Scheinberg P, Nunez O, Weinstein B et al.: Horse versus rabbit antithymocyte globulin in acquired aplastic anemia. N Engl J Med 365:430-438, 2011. </w:t>
      </w:r>
      <w:hyperlink r:id="rIdex_ID0EMCBG">
        <w:r>
          <w:rPr>
            <w:rStyle w:val="Hyperlink"/>
          </w:rPr>
          <w:t xml:space="preserve">PMID: 21812672</w:t>
        </w:r>
      </w:hyperlink>
    </w:p>
    <w:p>
      <w:pPr>
        <w:pStyle w:val="Literaturverzeichnis"/>
        <w:numPr>
          <w:ilvl w:val="0"/>
          <w:numId w:val="61"/>
        </w:numPr>
        <w:rPr/>
      </w:pPr>
      <w:bookmarkStart w:id="10609" w:name="litID0EFJBG"/>
      <w:bookmarkEnd w:id="10609"/>
      <w:r>
        <w:rPr/>
        <w:t xml:space="preserve">Atta EH, Dias DS, Marra VL and de Azevedo AM: Comparison between horse and rabbit antithymocyte globulin as first-line treatment for patients with severe aplastic anemia: a single-center retrospective study. Ann Hematol 89:851-859, 2010. </w:t>
      </w:r>
      <w:hyperlink r:id="rIdex_ID0EXCBG">
        <w:r>
          <w:rPr>
            <w:rStyle w:val="Hyperlink"/>
          </w:rPr>
          <w:t xml:space="preserve">DOI 10.1007/s00277-010-0944-y</w:t>
        </w:r>
      </w:hyperlink>
    </w:p>
    <w:p>
      <w:pPr>
        <w:pStyle w:val="Literaturverzeichnis"/>
        <w:numPr>
          <w:ilvl w:val="0"/>
          <w:numId w:val="61"/>
        </w:numPr>
        <w:rPr/>
      </w:pPr>
      <w:bookmarkStart w:id="10611" w:name="litID0ERJBG"/>
      <w:bookmarkEnd w:id="10611"/>
      <w:r>
        <w:rPr/>
        <w:t xml:space="preserve">Kadia TM, Borthakur G, Marcia-Manero G et al.: Final results of the phase II study of rabbit anti-thymocyte globulin, ciclosporin, methylprednisone, and granulocyte colony-stimulating factor in patients with aplastic anaemia and myelodysplastic syndrome. Br J Haematol. Epub, 2012. </w:t>
      </w:r>
      <w:hyperlink r:id="rIdex_ID0EBDBG">
        <w:r>
          <w:rPr>
            <w:rStyle w:val="Hyperlink"/>
          </w:rPr>
          <w:t xml:space="preserve">DOI:</w:t>
        </w:r>
      </w:hyperlink>
      <w:r>
        <w:rPr/>
        <w:t xml:space="preserve"> </w:t>
      </w:r>
      <w:hyperlink r:id="rIdex_ID0EHDBG">
        <w:r>
          <w:rPr>
            <w:rStyle w:val="Hyperlink"/>
          </w:rPr>
          <w:t xml:space="preserve">10.1111/j.1365-2141.2012.09064.x</w:t>
        </w:r>
      </w:hyperlink>
    </w:p>
    <w:p>
      <w:pPr>
        <w:pStyle w:val="Literaturverzeichnis"/>
        <w:numPr>
          <w:ilvl w:val="0"/>
          <w:numId w:val="61"/>
        </w:numPr>
        <w:rPr/>
      </w:pPr>
      <w:bookmarkStart w:id="10614" w:name="litID0EEKBG"/>
      <w:bookmarkEnd w:id="10614"/>
      <w:r>
        <w:rPr/>
        <w:t xml:space="preserve">Höchsmann B, Neher C, Germing U: Therapy of acquired aplastic anemia with rabbit antithymocyte globulin: a retrospective analysis by the working group on non-malignant disorders of the German Society of Hematology and Oncology (DGHO). Blood 118, Abstract 3434, 2011.</w:t>
      </w:r>
      <w:hyperlink r:id="rIdex_ID0ERDBG">
        <w:r>
          <w:rPr>
            <w:rStyle w:val="Hyperlink"/>
          </w:rPr>
          <w:t xml:space="preserve"> http://abstracts.hematologylibrary.org/cgi/content/abstract/118/21/</w:t>
        </w:r>
      </w:hyperlink>
      <w:hyperlink r:id="rIdex_ID0EWDBG">
        <w:r>
          <w:rPr>
            <w:rStyle w:val="Hyperlink"/>
          </w:rPr>
          <w:t xml:space="preserve">3434?maxtoshow=&amp;hits=10&amp;RESULTFORMAT=&amp;fulltext=h%F6chsmann+B&amp;searchid=1</w:t>
        </w:r>
      </w:hyperlink>
    </w:p>
    <w:p>
      <w:pPr>
        <w:pStyle w:val="Literaturverzeichnis"/>
        <w:numPr>
          <w:ilvl w:val="0"/>
          <w:numId w:val="61"/>
        </w:numPr>
        <w:rPr/>
      </w:pPr>
      <w:bookmarkStart w:id="10617" w:name="litID0EVKBG"/>
      <w:bookmarkEnd w:id="10617"/>
      <w:r>
        <w:rPr/>
        <w:t xml:space="preserve">Marsh J, Socié G, Tichelli A et al.: Prospective phase 2 pilot study for rabbit antithymocyte globulin with ciclosporin for patients with acquired aplastic anemia and matched pair analysis with patients treated with horse ATG and ciclosporine. Bone Marrow Transplant. 46 Suppl 1:S208, 2011.</w:t>
      </w:r>
    </w:p>
    <w:p>
      <w:pPr>
        <w:pStyle w:val="Literaturverzeichnis"/>
        <w:numPr>
          <w:ilvl w:val="0"/>
          <w:numId w:val="61"/>
        </w:numPr>
        <w:rPr/>
      </w:pPr>
      <w:bookmarkStart w:id="10618" w:name="litID0E2KBG"/>
      <w:bookmarkEnd w:id="10618"/>
      <w:r>
        <w:rPr/>
        <w:t xml:space="preserve">Halkes CJM, Brand A. von dem Borne PA: Increasing the dose of rabbit-ATG does not lead to a higher response rate in the first-line treatment of severe aplastic anemia. Bone Marrow Transplant 46 Suppl 1: S373, 2011.</w:t>
      </w:r>
    </w:p>
    <w:p>
      <w:pPr>
        <w:pStyle w:val="Literaturverzeichnis"/>
        <w:numPr>
          <w:ilvl w:val="0"/>
          <w:numId w:val="61"/>
        </w:numPr>
        <w:rPr/>
      </w:pPr>
      <w:bookmarkStart w:id="10619" w:name="litID0EBLBG"/>
      <w:bookmarkEnd w:id="10619"/>
      <w:r>
        <w:rPr/>
        <w:t xml:space="preserve">Afable MG, Shaik M, Sugimoto Y et al.: Efficacy of rabbit anti-thymocyte globulin in severe aplastic anemia. Haematologica 96:1269-1275, 2011. </w:t>
      </w:r>
      <w:hyperlink r:id="rIdex_ID0ELEBG">
        <w:r>
          <w:rPr>
            <w:rStyle w:val="Hyperlink"/>
          </w:rPr>
          <w:t xml:space="preserve">DOI: </w:t>
        </w:r>
      </w:hyperlink>
      <w:hyperlink r:id="rIdex_ID0EQEBG">
        <w:r>
          <w:rPr>
            <w:rStyle w:val="Hyperlink"/>
          </w:rPr>
          <w:t xml:space="preserve">10.3324/haematol.2011.042622</w:t>
        </w:r>
      </w:hyperlink>
    </w:p>
    <w:p>
      <w:pPr>
        <w:pStyle w:val="Literaturverzeichnis"/>
        <w:numPr>
          <w:ilvl w:val="0"/>
          <w:numId w:val="61"/>
        </w:numPr>
        <w:rPr/>
      </w:pPr>
      <w:bookmarkStart w:id="10622" w:name="litID0ETLBG"/>
      <w:bookmarkEnd w:id="10622"/>
      <w:r>
        <w:rPr/>
        <w:t xml:space="preserve">Vallejo C, Montessino P, Rosell MG: Comparison between lymphoglobuline and thymoglobuline-based immunosuppressive therapy as first-3194, 2009. </w:t>
      </w:r>
      <w:hyperlink r:id="rIdex_ID0E1EBG">
        <w:r>
          <w:rPr>
            <w:rStyle w:val="Hyperlink"/>
          </w:rPr>
          <w:t xml:space="preserve">http://abstracts.hematologylibrary.org/cgi/content/abstract/</w:t>
        </w:r>
      </w:hyperlink>
      <w:hyperlink r:id="rIdex_ID0E6EBG">
        <w:r>
          <w:rPr>
            <w:rStyle w:val="Hyperlink"/>
          </w:rPr>
          <w:t xml:space="preserve">114/22/3194?maxtoshow=&amp;hits=10&amp;RESULTFORMAT=&amp;fulltext=Vallejo&amp;searchid=1&amp;FIRSTINDE</w:t>
        </w:r>
      </w:hyperlink>
    </w:p>
    <w:p>
      <w:pPr>
        <w:pStyle w:val="Literaturverzeichnis"/>
        <w:numPr>
          <w:ilvl w:val="0"/>
          <w:numId w:val="61"/>
        </w:numPr>
        <w:rPr/>
      </w:pPr>
      <w:bookmarkStart w:id="10625" w:name="litID0EEMBG"/>
      <w:bookmarkEnd w:id="10625"/>
      <w:r>
        <w:rPr/>
        <w:t xml:space="preserve">Saracco P, Lorenzati A, Oneto R: Italian registry of pediatric acquired aplastic anemia: a retrospective study. Bone Marrow Transplant 46 Suppl 1: S374, 2011.</w:t>
      </w:r>
    </w:p>
    <w:p>
      <w:pPr>
        <w:pStyle w:val="Literaturverzeichnis"/>
        <w:numPr>
          <w:ilvl w:val="0"/>
          <w:numId w:val="61"/>
        </w:numPr>
        <w:rPr/>
      </w:pPr>
      <w:bookmarkStart w:id="10626" w:name="litID0EKMBG"/>
      <w:bookmarkEnd w:id="10626"/>
      <w:r>
        <w:rPr/>
        <w:t xml:space="preserve">Saracco P, Quarello P, Iori AP et al.: Cyclosporin A response and dependence in children with acquired aplastic anaemia: a multicentre retrospective  study  with  long-term  observation  follow-up.  Br  J  Haematol 140:197-205, 2008. </w:t>
      </w:r>
      <w:hyperlink r:id="rIdex_ID0EPFBG">
        <w:r>
          <w:rPr>
            <w:rStyle w:val="Hyperlink"/>
          </w:rPr>
          <w:t xml:space="preserve">DOI: </w:t>
        </w:r>
      </w:hyperlink>
      <w:hyperlink r:id="rIdex_ID0EUFBG">
        <w:r>
          <w:rPr>
            <w:rStyle w:val="Hyperlink"/>
          </w:rPr>
          <w:t xml:space="preserve">10.1111/j.1365-2141.2007.06903.x</w:t>
        </w:r>
      </w:hyperlink>
    </w:p>
    <w:p>
      <w:pPr>
        <w:pStyle w:val="Literaturverzeichnis"/>
        <w:numPr>
          <w:ilvl w:val="0"/>
          <w:numId w:val="61"/>
        </w:numPr>
        <w:rPr/>
      </w:pPr>
      <w:bookmarkStart w:id="10629" w:name="litID0E3MBG"/>
      <w:bookmarkEnd w:id="10629"/>
      <w:r>
        <w:rPr/>
        <w:t xml:space="preserve">Teramura M, Kimura A, Iwase et al.: Treatment of severe aplastic anemia with antithymocyte globulin and cyclosporin A with or without G-CSF in adults: a multicenter randomized study in Japan. Blood 110:1756-1761, 2007.</w:t>
      </w:r>
      <w:hyperlink r:id="rIdex_ID0E5FBG">
        <w:r>
          <w:rPr>
            <w:rStyle w:val="Hyperlink"/>
          </w:rPr>
          <w:t xml:space="preserve"> DOI: </w:t>
        </w:r>
      </w:hyperlink>
      <w:hyperlink r:id="rIdex_ID0EDGBG">
        <w:r>
          <w:rPr>
            <w:rStyle w:val="Hyperlink"/>
          </w:rPr>
          <w:t xml:space="preserve">10.1182/blood-2006-11-050526</w:t>
        </w:r>
      </w:hyperlink>
    </w:p>
    <w:p>
      <w:pPr>
        <w:pStyle w:val="Literaturverzeichnis"/>
        <w:numPr>
          <w:ilvl w:val="0"/>
          <w:numId w:val="61"/>
        </w:numPr>
        <w:rPr/>
      </w:pPr>
      <w:bookmarkStart w:id="10632" w:name="litID0EONBG"/>
      <w:bookmarkEnd w:id="10632"/>
      <w:r>
        <w:rPr/>
        <w:t xml:space="preserve">Gurion R, Gafter-Gvili A, Paul M et al.: Hematopoietic growth factors in aplastic anemia patients treated with immunosuppressive therapy-systematic review and meta-analysis. Haematologica 94:712-719, 2009. </w:t>
      </w:r>
      <w:hyperlink r:id="rIdex_ID0ENGBG">
        <w:r>
          <w:rPr>
            <w:rStyle w:val="Hyperlink"/>
          </w:rPr>
          <w:t xml:space="preserve">DOI:</w:t>
        </w:r>
      </w:hyperlink>
      <w:r>
        <w:rPr/>
        <w:t xml:space="preserve"> </w:t>
      </w:r>
      <w:hyperlink r:id="rIdex_ID0ETGBG">
        <w:r>
          <w:rPr>
            <w:rStyle w:val="Hyperlink"/>
          </w:rPr>
          <w:t xml:space="preserve">10.3324/haematol.2008.002170</w:t>
        </w:r>
      </w:hyperlink>
    </w:p>
    <w:p>
      <w:pPr>
        <w:pStyle w:val="Literaturverzeichnis"/>
        <w:numPr>
          <w:ilvl w:val="0"/>
          <w:numId w:val="61"/>
        </w:numPr>
        <w:rPr/>
      </w:pPr>
      <w:bookmarkStart w:id="10635" w:name="litID0EBOBG"/>
      <w:bookmarkEnd w:id="10635"/>
      <w:r>
        <w:rPr/>
        <w:t xml:space="preserve">Camitta BM: What is the definition of cure for aplastic anemia? Acta Haematol 103:16-18, 2001. </w:t>
      </w:r>
      <w:hyperlink r:id="rIdex_ID0E4GBG">
        <w:r>
          <w:rPr>
            <w:rStyle w:val="Hyperlink"/>
          </w:rPr>
          <w:t xml:space="preserve">PMID: 10705154</w:t>
        </w:r>
      </w:hyperlink>
    </w:p>
    <w:p>
      <w:pPr>
        <w:pStyle w:val="Literaturverzeichnis"/>
        <w:numPr>
          <w:ilvl w:val="0"/>
          <w:numId w:val="61"/>
        </w:numPr>
        <w:rPr/>
      </w:pPr>
      <w:bookmarkStart w:id="10637" w:name="litID0ENOBG"/>
      <w:bookmarkEnd w:id="10637"/>
      <w:r>
        <w:rPr/>
        <w:t xml:space="preserve">Frickhofen N, Rosenfeld SJ: Immunosuppressive treatment of aplastic anemia with antithymocyte globulin and cyclosporine. Semin Hematol 37:56 -68, 2000. </w:t>
      </w:r>
      <w:hyperlink r:id="rIdex_ID0EIHBG">
        <w:r>
          <w:rPr>
            <w:rStyle w:val="Hyperlink"/>
          </w:rPr>
          <w:t xml:space="preserve">PMID: 10676911</w:t>
        </w:r>
      </w:hyperlink>
    </w:p>
    <w:p>
      <w:pPr>
        <w:pStyle w:val="Literaturverzeichnis"/>
        <w:numPr>
          <w:ilvl w:val="0"/>
          <w:numId w:val="61"/>
        </w:numPr>
        <w:rPr/>
      </w:pPr>
      <w:bookmarkStart w:id="10639" w:name="litID0EZOBG"/>
      <w:bookmarkEnd w:id="10639"/>
      <w:r>
        <w:rPr/>
        <w:t xml:space="preserve">Schrezenmeier H, Marin P, Raghavachar A et al.: Relapse of aplastic anaemia after immunosuppressive treatment: a report from the European Bone Marrow Transplantation Group SAA Working Party. Br J Haematol 85:371-377, 1993. </w:t>
      </w:r>
      <w:hyperlink r:id="rIdex_ID0ETHBG">
        <w:r>
          <w:rPr>
            <w:rStyle w:val="Hyperlink"/>
          </w:rPr>
          <w:t xml:space="preserve">PMID: 8280610</w:t>
        </w:r>
      </w:hyperlink>
    </w:p>
    <w:p>
      <w:pPr>
        <w:pStyle w:val="Literaturverzeichnis"/>
        <w:numPr>
          <w:ilvl w:val="0"/>
          <w:numId w:val="61"/>
        </w:numPr>
        <w:rPr/>
      </w:pPr>
      <w:bookmarkStart w:id="10641" w:name="litID0EFPBG"/>
      <w:bookmarkEnd w:id="10641"/>
      <w:r>
        <w:rPr/>
        <w:t xml:space="preserve">Rosenfeld S, Follmann D, Nunez O, Young NS: Antithymocyte globulin and cyclosporine for severe aplastic anemia: association between hematologic response and long-term outcome. JAMA 289:1130-1135, 2003. </w:t>
      </w:r>
      <w:hyperlink r:id="rIdex_ID0E5HBG">
        <w:r>
          <w:rPr>
            <w:rStyle w:val="Hyperlink"/>
          </w:rPr>
          <w:t xml:space="preserve">PMID:</w:t>
        </w:r>
      </w:hyperlink>
      <w:r>
        <w:rPr/>
        <w:t xml:space="preserve"> </w:t>
      </w:r>
      <w:hyperlink r:id="rIdex_ID0EEIBG">
        <w:r>
          <w:rPr>
            <w:rStyle w:val="Hyperlink"/>
          </w:rPr>
          <w:t xml:space="preserve">12622583</w:t>
        </w:r>
      </w:hyperlink>
    </w:p>
    <w:p>
      <w:pPr>
        <w:pStyle w:val="Literaturverzeichnis"/>
        <w:numPr>
          <w:ilvl w:val="0"/>
          <w:numId w:val="61"/>
        </w:numPr>
        <w:rPr/>
      </w:pPr>
      <w:bookmarkStart w:id="10644" w:name="litID0EYPBG"/>
      <w:bookmarkEnd w:id="10644"/>
      <w:r>
        <w:rPr/>
        <w:t xml:space="preserve">Socié G, Henry-Amar M, Bacigalupo A et al.: Malignant tumors occurring after treatment of aplastic anemia. European Bone Marrow Transplantation-Severe Aplastic Anaemia Working Party. N Engl J Med 329:1152-1157, 1993. </w:t>
      </w:r>
      <w:hyperlink r:id="rIdex_ID0EOIBG">
        <w:r>
          <w:rPr>
            <w:rStyle w:val="Hyperlink"/>
          </w:rPr>
          <w:t xml:space="preserve">PMID: 8377778</w:t>
        </w:r>
      </w:hyperlink>
    </w:p>
    <w:p>
      <w:pPr>
        <w:pStyle w:val="Literaturverzeichnis"/>
        <w:numPr>
          <w:ilvl w:val="0"/>
          <w:numId w:val="61"/>
        </w:numPr>
        <w:rPr/>
      </w:pPr>
      <w:bookmarkStart w:id="10646" w:name="litID0EDQBG"/>
      <w:bookmarkEnd w:id="10646"/>
      <w:r>
        <w:rPr/>
        <w:t xml:space="preserve">Socié G, Mary JY, Schrezenmeier H et al.: Granulocyte-stimulating factor and severe aplastic anemia: a survey by the European Group for Blood and Marrow Transplantation (EBMT). Blood 109:2794-2796, 2007. </w:t>
      </w:r>
      <w:hyperlink r:id="rIdex_ID0EZIBG">
        <w:r>
          <w:rPr>
            <w:rStyle w:val="Hyperlink"/>
          </w:rPr>
          <w:t xml:space="preserve">DOI:</w:t>
        </w:r>
      </w:hyperlink>
      <w:r>
        <w:rPr/>
        <w:t xml:space="preserve"> </w:t>
      </w:r>
      <w:hyperlink r:id="rIdex_ID0E6IBG">
        <w:r>
          <w:rPr>
            <w:rStyle w:val="Hyperlink"/>
          </w:rPr>
          <w:t xml:space="preserve">10.1182/blood-2006-07-034272</w:t>
        </w:r>
      </w:hyperlink>
    </w:p>
    <w:p>
      <w:pPr>
        <w:pStyle w:val="Literaturverzeichnis"/>
        <w:numPr>
          <w:ilvl w:val="0"/>
          <w:numId w:val="61"/>
        </w:numPr>
        <w:rPr/>
      </w:pPr>
      <w:bookmarkStart w:id="10649" w:name="litID0EWQBG"/>
      <w:bookmarkEnd w:id="10649"/>
      <w:r>
        <w:rPr/>
        <w:t xml:space="preserve">Tichelli A, Gratwohl A, Wursch A et al.: Late haematological complications in severe aplastic anaemia. Br J Haematol 69:413-418, 1988. </w:t>
      </w:r>
      <w:hyperlink r:id="rIdex_ID0EJJBG">
        <w:r>
          <w:rPr>
            <w:rStyle w:val="Hyperlink"/>
          </w:rPr>
          <w:t xml:space="preserve">PMID:</w:t>
        </w:r>
      </w:hyperlink>
      <w:r>
        <w:rPr/>
        <w:t xml:space="preserve"> </w:t>
      </w:r>
      <w:hyperlink r:id="rIdex_ID0EPJBG">
        <w:r>
          <w:rPr>
            <w:rStyle w:val="Hyperlink"/>
          </w:rPr>
          <w:t xml:space="preserve">3044440</w:t>
        </w:r>
      </w:hyperlink>
    </w:p>
    <w:p>
      <w:pPr>
        <w:pStyle w:val="Literaturverzeichnis"/>
        <w:numPr>
          <w:ilvl w:val="0"/>
          <w:numId w:val="61"/>
        </w:numPr>
        <w:rPr/>
      </w:pPr>
      <w:bookmarkStart w:id="10652" w:name="litID0EJRBG"/>
      <w:bookmarkEnd w:id="10652"/>
      <w:r>
        <w:rPr/>
        <w:t xml:space="preserve">Scheinberg P, Nunez O, Young NS: Retreatment with rabbit anti-thymocyte globulin and ciclosporin for patients with relapsed or refractory severe  aplastic  anaemia.  Br  J  Haematol  133:622-627,  2006.  </w:t>
      </w:r>
      <w:hyperlink r:id="rIdex_ID0EZJBG">
        <w:r>
          <w:rPr>
            <w:rStyle w:val="Hyperlink"/>
          </w:rPr>
          <w:t xml:space="preserve">DOI:</w:t>
        </w:r>
      </w:hyperlink>
      <w:r>
        <w:rPr/>
        <w:t xml:space="preserve"> </w:t>
      </w:r>
      <w:hyperlink r:id="rIdex_ID0E6JBG">
        <w:r>
          <w:rPr>
            <w:rStyle w:val="Hyperlink"/>
          </w:rPr>
          <w:t xml:space="preserve">10.1111/j.1365-2141.2006.06098.x</w:t>
        </w:r>
      </w:hyperlink>
    </w:p>
    <w:p>
      <w:pPr>
        <w:pStyle w:val="Literaturverzeichnis"/>
        <w:numPr>
          <w:ilvl w:val="0"/>
          <w:numId w:val="61"/>
        </w:numPr>
        <w:rPr/>
      </w:pPr>
      <w:bookmarkStart w:id="10655" w:name="litID0E3RBG"/>
      <w:bookmarkEnd w:id="10655"/>
      <w:r>
        <w:rPr/>
        <w:t xml:space="preserve">Di Bona E, Rodeghiero F, Bruno B et al.: Rabbit antithymocyte globulin (r-ATG) plus cyclosporine and granulocyte colony stimulating factor is an effective treatment for aplastic anaemia patients unresponsive to a first course of intensive immunosuppressive therapy. Gruppo Italiano Trapianto di Midollo Osseo (GITMO). Br J Haematol 107:330-334, 1999. </w:t>
      </w:r>
      <w:hyperlink r:id="rIdex_ID0EJKBG">
        <w:r>
          <w:rPr>
            <w:rStyle w:val="Hyperlink"/>
          </w:rPr>
          <w:t xml:space="preserve">PMID:</w:t>
        </w:r>
      </w:hyperlink>
      <w:r>
        <w:rPr/>
        <w:t xml:space="preserve"> </w:t>
      </w:r>
      <w:hyperlink r:id="rIdex_ID0EPKBG">
        <w:r>
          <w:rPr>
            <w:rStyle w:val="Hyperlink"/>
          </w:rPr>
          <w:t xml:space="preserve">10583220</w:t>
        </w:r>
      </w:hyperlink>
    </w:p>
    <w:p>
      <w:pPr>
        <w:pStyle w:val="Literaturverzeichnis"/>
        <w:numPr>
          <w:ilvl w:val="0"/>
          <w:numId w:val="61"/>
        </w:numPr>
        <w:rPr/>
      </w:pPr>
      <w:bookmarkStart w:id="10658" w:name="litID0EOSBG"/>
      <w:bookmarkEnd w:id="10658"/>
      <w:r>
        <w:rPr/>
        <w:t xml:space="preserve">Tichelli A: Repeated treatment with horse antilymphocyte globulin for severe  aplastic  anaemia.  Br  J  Haematol  100:393-400,  1998.  </w:t>
      </w:r>
      <w:hyperlink r:id="rIdex_ID0EZKBG">
        <w:r>
          <w:rPr>
            <w:rStyle w:val="Hyperlink"/>
          </w:rPr>
          <w:t xml:space="preserve">PMID:</w:t>
        </w:r>
      </w:hyperlink>
      <w:r>
        <w:rPr/>
        <w:t xml:space="preserve"> </w:t>
      </w:r>
      <w:hyperlink r:id="rIdex_ID0E6KBG">
        <w:r>
          <w:rPr>
            <w:rStyle w:val="Hyperlink"/>
          </w:rPr>
          <w:t xml:space="preserve">9488634</w:t>
        </w:r>
      </w:hyperlink>
    </w:p>
    <w:p>
      <w:pPr>
        <w:pStyle w:val="Literaturverzeichnis"/>
        <w:numPr>
          <w:ilvl w:val="0"/>
          <w:numId w:val="61"/>
        </w:numPr>
        <w:rPr/>
      </w:pPr>
      <w:bookmarkStart w:id="10661" w:name="litID0EBTBG"/>
      <w:bookmarkEnd w:id="10661"/>
      <w:r>
        <w:rPr/>
        <w:t xml:space="preserve">Schrezenmeier H, Hinterberger W, Hows J et al.: Second immunosuppressive treatment of patients with aplastic anemia not responding to the first course of immunosuppression (IS): A report from the Working Party on Severe Aplastic Anemia of the EBMT. Bone Marrow Transplant 15 Suppl. 2:10, 1995.</w:t>
      </w:r>
    </w:p>
    <w:p>
      <w:pPr>
        <w:pStyle w:val="Literaturverzeichnis"/>
        <w:numPr>
          <w:ilvl w:val="0"/>
          <w:numId w:val="61"/>
        </w:numPr>
        <w:rPr/>
      </w:pPr>
      <w:bookmarkStart w:id="10662" w:name="litID0EHTBG"/>
      <w:bookmarkEnd w:id="10662"/>
      <w:r>
        <w:rPr/>
        <w:t xml:space="preserve">Kosaka Y, Yagasaki H, Sano K et al.: Prospective multicenter trial comparing repeated immunosuppressive therapy with stem-cell transplantation from an alternative donor as second-line treatment for children with severe and very severe aplastic anemia. Blood 111:1054-1059, 2008. </w:t>
      </w:r>
      <w:hyperlink r:id="rIdex_ID0EOLBG">
        <w:r>
          <w:rPr>
            <w:rStyle w:val="Hyperlink"/>
          </w:rPr>
          <w:t xml:space="preserve">DOI: </w:t>
        </w:r>
      </w:hyperlink>
      <w:hyperlink r:id="rIdex_ID0ETLBG">
        <w:r>
          <w:rPr>
            <w:rStyle w:val="Hyperlink"/>
          </w:rPr>
          <w:t xml:space="preserve">10.1182/blood-2007-08-099168</w:t>
        </w:r>
      </w:hyperlink>
    </w:p>
    <w:p>
      <w:pPr>
        <w:pStyle w:val="Literaturverzeichnis"/>
        <w:numPr>
          <w:ilvl w:val="0"/>
          <w:numId w:val="61"/>
        </w:numPr>
        <w:rPr/>
      </w:pPr>
      <w:bookmarkStart w:id="10665" w:name="litID0EZTBG"/>
      <w:bookmarkEnd w:id="10665"/>
      <w:r>
        <w:rPr/>
        <w:t xml:space="preserve">Gupta V, Gordon-Smith EC, Cook G et al.: A third course of anti-thymocyte globulin in aplastic anaemia is only beneficial in previous responders.     Br     J     Haematol     129:110-117,     2005.     </w:t>
      </w:r>
      <w:hyperlink r:id="rIdex_ID0E4LBG">
        <w:r>
          <w:rPr>
            <w:rStyle w:val="Hyperlink"/>
          </w:rPr>
          <w:t xml:space="preserve">DOI:     </w:t>
        </w:r>
      </w:hyperlink>
      <w:hyperlink r:id="rIdex_ID0ECMBG">
        <w:r>
          <w:rPr>
            <w:rStyle w:val="Hyperlink"/>
          </w:rPr>
          <w:t xml:space="preserve">10.1111/</w:t>
        </w:r>
      </w:hyperlink>
      <w:hyperlink r:id="rIdex_ID0EGMBG">
        <w:r>
          <w:rPr>
            <w:rStyle w:val="Hyperlink"/>
          </w:rPr>
          <w:t xml:space="preserve"> j.1365-2141.2005.05406.x</w:t>
        </w:r>
      </w:hyperlink>
    </w:p>
    <w:p>
      <w:pPr>
        <w:pStyle w:val="Literaturverzeichnis"/>
        <w:numPr>
          <w:ilvl w:val="0"/>
          <w:numId w:val="61"/>
        </w:numPr>
        <w:rPr/>
      </w:pPr>
      <w:bookmarkStart w:id="10669" w:name="litID0ERUBG"/>
      <w:bookmarkEnd w:id="10669"/>
      <w:r>
        <w:rPr/>
        <w:t xml:space="preserve">Scheinberg P, Nunez O, Weinstein et al.: Activity of alemtuzumab monotherapy in treatment-naive, relapsed, and refractory severe anplantation for severe acquired aplastic anemia. Blood 119:345-354, 2012.</w:t>
      </w:r>
      <w:hyperlink r:id="rIdex_ID0EQMBG">
        <w:r>
          <w:rPr>
            <w:rStyle w:val="Hyperlink"/>
          </w:rPr>
          <w:t xml:space="preserve"> DOI:</w:t>
        </w:r>
      </w:hyperlink>
      <w:r>
        <w:rPr/>
        <w:t xml:space="preserve"> </w:t>
      </w:r>
      <w:hyperlink r:id="rIdex_ID0EWMBG">
        <w:r>
          <w:rPr>
            <w:rStyle w:val="Hyperlink"/>
          </w:rPr>
          <w:t xml:space="preserve">10.1182/blood-2011-05-352328</w:t>
        </w:r>
      </w:hyperlink>
    </w:p>
    <w:p>
      <w:pPr>
        <w:pStyle w:val="Literaturverzeichnis"/>
        <w:numPr>
          <w:ilvl w:val="0"/>
          <w:numId w:val="61"/>
        </w:numPr>
        <w:rPr/>
      </w:pPr>
      <w:bookmarkStart w:id="10672" w:name="litID0EEVBG"/>
      <w:bookmarkEnd w:id="10672"/>
      <w:r>
        <w:rPr/>
        <w:t xml:space="preserve">Risitano AM, Selleri C, Serio B et al.: Alemtuzumab is safe and effective as immunosuppressive treatment for aplastic anaemia and single-lineage marrow failure: a pilot study and a survey from the EBMT WPSAA. Br J Haematol 148:791-796, 2010. </w:t>
      </w:r>
      <w:hyperlink r:id="rIdex_ID0EANBG">
        <w:r>
          <w:rPr>
            <w:rStyle w:val="Hyperlink"/>
          </w:rPr>
          <w:t xml:space="preserve">DOI: </w:t>
        </w:r>
      </w:hyperlink>
      <w:hyperlink r:id="rIdex_ID0EFNBG">
        <w:r>
          <w:rPr>
            <w:rStyle w:val="Hyperlink"/>
          </w:rPr>
          <w:t xml:space="preserve">10.1111/j.1365-2141.2009.08027.x</w:t>
        </w:r>
      </w:hyperlink>
    </w:p>
    <w:p>
      <w:pPr>
        <w:pStyle w:val="Literaturverzeichnis"/>
        <w:numPr>
          <w:ilvl w:val="0"/>
          <w:numId w:val="61"/>
        </w:numPr>
        <w:rPr/>
      </w:pPr>
      <w:bookmarkStart w:id="10675" w:name="litID0EWVBG"/>
      <w:bookmarkEnd w:id="10675"/>
      <w:r>
        <w:rPr/>
        <w:t xml:space="preserve">Tisdale JF, Maciejewski JP, Nunez O et al.: Late complications following treatment for severe aplastic anemia (SAA) with high-dose cyclophosphamide (Cy): follow-up of a randomized trial. Blood 100:4668-4670. 2002. </w:t>
      </w:r>
      <w:hyperlink r:id="rIdex_ID0EPNBG">
        <w:r>
          <w:rPr>
            <w:rStyle w:val="Hyperlink"/>
          </w:rPr>
          <w:t xml:space="preserve">DOI: </w:t>
        </w:r>
      </w:hyperlink>
      <w:hyperlink r:id="rIdex_ID0EUNBG">
        <w:r>
          <w:rPr>
            <w:rStyle w:val="Hyperlink"/>
          </w:rPr>
          <w:t xml:space="preserve">10.1182/blood-2002-02-0494</w:t>
        </w:r>
      </w:hyperlink>
    </w:p>
    <w:p>
      <w:pPr>
        <w:pStyle w:val="Literaturverzeichnis"/>
        <w:numPr>
          <w:ilvl w:val="0"/>
          <w:numId w:val="61"/>
        </w:numPr>
        <w:rPr/>
      </w:pPr>
      <w:bookmarkStart w:id="10678" w:name="litID0EIWBG"/>
      <w:bookmarkEnd w:id="10678"/>
      <w:r>
        <w:rPr/>
        <w:t xml:space="preserve">Scheinberg P, Cooper JN, Sloand EM et al.: Association of telomere length of peripheral blood leukocytes with hematopoietic relapse, malignant  transformation, and  survival  in  severe  aplastic  anemia.  JAMA 304:1358-1364, 2010. </w:t>
      </w:r>
      <w:hyperlink r:id="rIdex_ID0E5NBG">
        <w:r>
          <w:rPr>
            <w:rStyle w:val="Hyperlink"/>
          </w:rPr>
          <w:t xml:space="preserve">DOI: 10.1001/jama.2010.1376</w:t>
        </w:r>
      </w:hyperlink>
    </w:p>
    <w:p>
      <w:pPr>
        <w:pStyle w:val="Literaturverzeichnis"/>
        <w:numPr>
          <w:ilvl w:val="0"/>
          <w:numId w:val="61"/>
        </w:numPr>
        <w:rPr/>
      </w:pPr>
      <w:bookmarkStart w:id="10680" w:name="litID0EUWBG"/>
      <w:bookmarkEnd w:id="10680"/>
      <w:r>
        <w:rPr/>
        <w:t xml:space="preserve">Ziegler P, Schrezenmeier H, Akkad J et al.: Telomere elongation and clinical response to androgen treatment in a patient with aplastic anemia and a heterozygous hTERT gene mutation. Ann Hematol epub Apr 4, 2012 </w:t>
      </w:r>
      <w:hyperlink r:id="rIdex_ID0EJOBG">
        <w:r>
          <w:rPr>
            <w:rStyle w:val="Hyperlink"/>
          </w:rPr>
          <w:t xml:space="preserve">DOI: 10.1007/s00277-012-1454-x</w:t>
        </w:r>
      </w:hyperlink>
    </w:p>
    <w:p>
      <w:pPr>
        <w:pStyle w:val="Literaturverzeichnis"/>
        <w:numPr>
          <w:ilvl w:val="0"/>
          <w:numId w:val="61"/>
        </w:numPr>
        <w:rPr/>
      </w:pPr>
      <w:bookmarkStart w:id="10682" w:name="litID0EAXBG"/>
      <w:bookmarkEnd w:id="10682"/>
      <w:r>
        <w:rPr/>
        <w:t xml:space="preserve">Chuhjo T, Yamazaki H, Omine M, Nakao S: Danazol therapy for aplastic anemia  refractory  to  immunosuppressive  therapy.  Am   J   Hematol 83:387-389, 2008. </w:t>
      </w:r>
      <w:hyperlink r:id="rIdex_ID0EUOBG">
        <w:r>
          <w:rPr>
            <w:rStyle w:val="Hyperlink"/>
          </w:rPr>
          <w:t xml:space="preserve">DOI: </w:t>
        </w:r>
      </w:hyperlink>
      <w:hyperlink r:id="rIdex_ID0EZOBG">
        <w:r>
          <w:rPr>
            <w:rStyle w:val="Hyperlink"/>
          </w:rPr>
          <w:t xml:space="preserve">10.1002/ajh.21118</w:t>
        </w:r>
      </w:hyperlink>
    </w:p>
    <w:p>
      <w:pPr>
        <w:pStyle w:val="Literaturverzeichnis"/>
        <w:numPr>
          <w:ilvl w:val="0"/>
          <w:numId w:val="61"/>
        </w:numPr>
        <w:rPr/>
      </w:pPr>
      <w:bookmarkStart w:id="10685" w:name="litID0ESXBG"/>
      <w:bookmarkEnd w:id="10685"/>
      <w:r>
        <w:rPr/>
        <w:t xml:space="preserve">Jaime-Perez JC, Colunga-Pedraza PR, Gomez-Ramirez CD et al.: Danazol as first-line therapy for aplastic anemia. Ann Hematol 90: 523-527, 2011. </w:t>
      </w:r>
      <w:hyperlink r:id="rIdex_ID0EDPBG">
        <w:r>
          <w:rPr>
            <w:rStyle w:val="Hyperlink"/>
          </w:rPr>
          <w:t xml:space="preserve">DOI: 10.1007/s00277-011-1163-x</w:t>
        </w:r>
      </w:hyperlink>
    </w:p>
    <w:p>
      <w:pPr>
        <w:pStyle w:val="Literaturverzeichnis"/>
        <w:numPr>
          <w:ilvl w:val="0"/>
          <w:numId w:val="61"/>
        </w:numPr>
        <w:rPr/>
      </w:pPr>
      <w:bookmarkStart w:id="10687" w:name="litID0E5XBG"/>
      <w:bookmarkEnd w:id="10687"/>
      <w:r>
        <w:rPr/>
        <w:t xml:space="preserve">Brodsky RA, Jones RJ: High-dose cyclophosphamide in aplastic anaemia. Lancet 357:1128-1129, 2001. </w:t>
      </w:r>
      <w:hyperlink r:id="rIdex_ID0EOPBG">
        <w:r>
          <w:rPr>
            <w:rStyle w:val="Hyperlink"/>
          </w:rPr>
          <w:t xml:space="preserve">PMID: 11303606</w:t>
        </w:r>
      </w:hyperlink>
    </w:p>
    <w:p>
      <w:pPr>
        <w:pStyle w:val="Literaturverzeichnis"/>
        <w:numPr>
          <w:ilvl w:val="0"/>
          <w:numId w:val="61"/>
        </w:numPr>
        <w:rPr/>
      </w:pPr>
      <w:bookmarkStart w:id="10689" w:name="litID0EKYBG"/>
      <w:bookmarkEnd w:id="10689"/>
      <w:r>
        <w:rPr/>
        <w:t xml:space="preserve">Brodsky RA, Sensenbrenner LL, Smith BD et al.: Durable treatment-free remission after high-dose cyclophosphamide therapy for previously untreated severe aplastic anemia. Ann Intern Med 135:477-483, 2001.</w:t>
      </w:r>
      <w:hyperlink r:id="rIdex_ID0EZPBG">
        <w:r>
          <w:rPr>
            <w:rStyle w:val="Hyperlink"/>
          </w:rPr>
          <w:t xml:space="preserve"> PMID: 11578150</w:t>
        </w:r>
      </w:hyperlink>
      <w:r>
        <w:rPr/>
        <w:t xml:space="preserve"> </w:t>
      </w:r>
    </w:p>
    <w:p>
      <w:pPr>
        <w:pStyle w:val="Literaturverzeichnis"/>
        <w:numPr>
          <w:ilvl w:val="0"/>
          <w:numId w:val="61"/>
        </w:numPr>
        <w:rPr/>
      </w:pPr>
      <w:bookmarkStart w:id="10691" w:name="litID0EXYBG"/>
      <w:bookmarkEnd w:id="10691"/>
      <w:r>
        <w:rPr/>
        <w:t xml:space="preserve">Yoshimi A, Kojima S, Taniguchi S et al.: Unrelated cord blood transplantation for  severe  aplastic  anemia.  Biol  Blood  Marrow  Transplant 14:1057-1064, 2008. </w:t>
      </w:r>
      <w:hyperlink r:id="rIdex_ID0EFQBG">
        <w:r>
          <w:rPr>
            <w:rStyle w:val="Hyperlink"/>
          </w:rPr>
          <w:t xml:space="preserve">DOI: </w:t>
        </w:r>
      </w:hyperlink>
      <w:hyperlink r:id="rIdex_ID0EKQBG">
        <w:r>
          <w:rPr>
            <w:rStyle w:val="Hyperlink"/>
          </w:rPr>
          <w:t xml:space="preserve">10.1016/j.bbmt.2008.07.003</w:t>
        </w:r>
      </w:hyperlink>
    </w:p>
    <w:p>
      <w:pPr>
        <w:pStyle w:val="berschrift1"/>
        <w:rPr/>
      </w:pPr>
      <w:bookmarkStart w:id="10694" w:name="head-active-studies"/>
      <w:bookmarkEnd w:id="10694"/>
      <w:r>
        <w:rPr/>
        <w:t xml:space="preserve">Aktive Studien</w:t>
      </w:r>
    </w:p>
    <w:p>
      <w:pPr>
        <w:pStyle w:val="Standard"/>
        <w:rPr/>
      </w:pPr>
      <w:bookmarkStart w:id="10695" w:name="ID0EZWBG"/>
      <w:bookmarkEnd w:id="10695"/>
      <w:r>
        <w:rPr/>
        <w:t xml:space="preserve">Studien der Working Party Aplastische Anämie der EBMT unter </w:t>
      </w:r>
      <w:hyperlink r:id="rIdex_ID0E1QBG">
        <w:r>
          <w:rPr>
            <w:rStyle w:val="Hyperlink"/>
          </w:rPr>
          <w:t xml:space="preserve">www.ebmt.org</w:t>
        </w:r>
      </w:hyperlink>
    </w:p>
    <w:p>
      <w:pPr>
        <w:pStyle w:val="berschrift1"/>
        <w:rPr/>
      </w:pPr>
      <w:bookmarkStart w:id="10697" w:name="head-protocols"/>
      <w:bookmarkEnd w:id="10697"/>
      <w:r>
        <w:rPr/>
        <w:t xml:space="preserve">Medikamentöse Therapie-Protokolle</w:t>
      </w:r>
    </w:p>
    <w:p>
      <w:pPr>
        <w:pStyle w:val="InterneInformation"/>
        <w:rPr/>
      </w:pPr>
      <w:r>
        <w:rPr>
          <w:rStyle w:val="Absatz-Standardschriftart"/>
          <w:b/>
        </w:rPr>
        <w:t xml:space="preserve">Interne Informationen:</w:t>
      </w:r>
    </w:p>
    <w:p>
      <w:pPr>
        <w:pStyle w:val="InterneInformation"/>
        <w:rPr/>
      </w:pPr>
      <w:r>
        <w:rPr>
          <w:rStyle w:val="Absatz-Standardschriftart"/>
        </w:rPr>
        <w:t xml:space="preserve">Zum Zeitpunkt der Generierung dieses Dokuments lagen folgende  Protokolle  vor:</w:t>
      </w:r>
    </w:p>
    <w:p>
      <w:pPr>
        <w:pStyle w:val="InterneInformation"/>
        <w:rPr/>
      </w:pPr>
      <w:hyperlink r:id="rIdex_ID0ESG">
        <w:r>
          <w:rPr>
            <w:rStyle w:val="Hyperlink"/>
          </w:rPr>
          <w:t xml:space="preserve">https://www.onkopedia.com/@@resolve-link?language=de&amp;document_type=protocols&amp;guideline_topics=7&amp;area=onkopedia</w:t>
        </w:r>
      </w:hyperlink>
    </w:p>
    <w:p>
      <w:pPr>
        <w:pStyle w:val="InterneInformation"/>
        <w:rPr/>
      </w:pPr>
      <w:r>
        <w:rPr>
          <w:rStyle w:val="Absatz-Standardschriftart"/>
        </w:rPr>
        <w:t xml:space="preserve">Aktuelle Informationen finden Sie online</w:t>
      </w:r>
    </w:p>
    <w:p>
      <w:pPr>
        <w:pStyle w:val="berschrift1"/>
        <w:rPr/>
      </w:pPr>
      <w:bookmarkStart w:id="10699" w:name="head-study-results"/>
      <w:bookmarkEnd w:id="10699"/>
      <w:r>
        <w:rPr/>
        <w:t xml:space="preserve">Studienergebnisse</w:t>
      </w:r>
    </w:p>
    <w:p>
      <w:pPr>
        <w:pStyle w:val="InterneInformation"/>
        <w:rPr/>
      </w:pPr>
      <w:r>
        <w:rPr>
          <w:rStyle w:val="Absatz-Standardschriftart"/>
          <w:b/>
        </w:rPr>
        <w:t xml:space="preserve">Interne Informationen:</w:t>
      </w:r>
    </w:p>
    <w:p>
      <w:pPr>
        <w:pStyle w:val="InterneInformation"/>
        <w:rPr/>
      </w:pPr>
      <w:r>
        <w:rPr>
          <w:rStyle w:val="Absatz-Standardschriftart"/>
        </w:rPr>
        <w:t xml:space="preserve">Zum Zeitpunkt der Generierung dieses Dokuments lagen keine Studienergebnisse vor.</w:t>
      </w:r>
    </w:p>
    <w:p>
      <w:pPr>
        <w:pStyle w:val="InterneInformation"/>
        <w:rPr/>
      </w:pPr>
      <w:r>
        <w:rPr>
          <w:rStyle w:val="Absatz-Standardschriftart"/>
        </w:rPr>
        <w:t xml:space="preserve">Aktuelle Informationen finden Sie online</w:t>
      </w:r>
    </w:p>
    <w:p>
      <w:pPr>
        <w:pStyle w:val="berschrift1"/>
        <w:rPr/>
      </w:pPr>
      <w:bookmarkStart w:id="10700" w:name="head-certification-status"/>
      <w:bookmarkEnd w:id="10700"/>
      <w:r>
        <w:rPr/>
        <w:t xml:space="preserve">Zulassungsstatus</w:t>
      </w:r>
    </w:p>
    <w:p>
      <w:pPr>
        <w:pStyle w:val="InterneInformation"/>
        <w:rPr/>
      </w:pPr>
      <w:r>
        <w:rPr>
          <w:rStyle w:val="Absatz-Standardschriftart"/>
          <w:b/>
        </w:rPr>
        <w:t xml:space="preserve">Interne Informationen:</w:t>
      </w:r>
    </w:p>
    <w:p>
      <w:pPr>
        <w:pStyle w:val="InterneInformation"/>
        <w:rPr/>
      </w:pPr>
      <w:r>
        <w:rPr>
          <w:rStyle w:val="Absatz-Standardschriftart"/>
        </w:rPr>
        <w:t xml:space="preserve">Zum Zeitpunkt der Generierung dieses Dokuments lagen folgende Zertifizierungen vor:</w:t>
      </w:r>
    </w:p>
    <w:p>
      <w:pPr>
        <w:pStyle w:val="InterneInformation"/>
        <w:rPr/>
      </w:pPr>
      <w:hyperlink r:id="rIdex_ID0EAH">
        <w:r>
          <w:rPr>
            <w:rStyle w:val="Hyperlink"/>
          </w:rPr>
          <w:t xml:space="preserve">https://www.onkopedia.com/@@resolve-link?language=de&amp;document_type=certifications&amp;guideline_topics=7&amp;area=onkopedia</w:t>
        </w:r>
      </w:hyperlink>
    </w:p>
    <w:p>
      <w:pPr>
        <w:pStyle w:val="InterneInformation"/>
        <w:rPr/>
      </w:pPr>
      <w:r>
        <w:rPr>
          <w:rStyle w:val="Absatz-Standardschriftart"/>
        </w:rPr>
        <w:t xml:space="preserve">Aktuelle Informationen finden Sie online</w:t>
      </w:r>
    </w:p>
    <w:p>
      <w:pPr>
        <w:pStyle w:val="berschrift1"/>
        <w:rPr/>
      </w:pPr>
      <w:bookmarkStart w:id="10702" w:name="head-links"/>
      <w:bookmarkEnd w:id="10702"/>
      <w:r>
        <w:rPr/>
        <w:t xml:space="preserve">Links</w:t>
      </w:r>
    </w:p>
    <w:p>
      <w:pPr>
        <w:pStyle w:val="Standard"/>
        <w:rPr/>
      </w:pPr>
      <w:bookmarkStart w:id="10703" w:name="ID0EYXBG"/>
      <w:bookmarkEnd w:id="10703"/>
      <w:hyperlink r:id="rIdex_ID0E2RBG">
        <w:r>
          <w:rPr>
            <w:rStyle w:val="Hyperlink"/>
          </w:rPr>
          <w:t xml:space="preserve">www.aplastische-anaemie.de</w:t>
        </w:r>
      </w:hyperlink>
    </w:p>
    <w:p>
      <w:pPr>
        <w:pStyle w:val="berschrift1"/>
        <w:rPr/>
      </w:pPr>
      <w:bookmarkStart w:id="10705" w:name="head-authorlist"/>
      <w:bookmarkEnd w:id="10705"/>
      <w:r>
        <w:rPr/>
        <w:t xml:space="preserve">Anschriften der Verfasser</w:t>
      </w:r>
    </w:p>
    <w:p>
      <w:pPr>
        <w:pStyle w:val="AutorName"/>
        <w:rPr>
          <w:b/>
        </w:rPr>
      </w:pPr>
      <w:r>
        <w:rPr>
          <w:rStyle w:val="salutation"/>
        </w:rPr>
        <w:t xml:space="preserve">Prof. Dr. med.</w:t>
      </w:r>
      <w:r>
        <w:rPr>
          <w:b/>
        </w:rPr>
        <w:t xml:space="preserve"> </w:t>
      </w:r>
      <w:r>
        <w:rPr>
          <w:rStyle w:val="firstname"/>
        </w:rPr>
        <w:t xml:space="preserve">Hubert</w:t>
      </w:r>
      <w:r>
        <w:rPr>
          <w:b/>
        </w:rPr>
        <w:t xml:space="preserve"> </w:t>
      </w:r>
      <w:r>
        <w:rPr>
          <w:rStyle w:val="lastname"/>
        </w:rPr>
        <w:t xml:space="preserve">Schrezenmeier</w:t>
      </w:r>
    </w:p>
    <w:p>
      <w:pPr>
        <w:pStyle w:val="AutorFirma"/>
        <w:rPr/>
      </w:pPr>
      <w:r>
        <w:rPr/>
        <w:t xml:space="preserve">Universitätsklinikum Ulm</w:t>
      </w:r>
      <w:r>
        <w:rPr>
          <w:rStyle w:val="Absatz-Standardschriftart"/>
        </w:rPr>
        <w:br/>
      </w:r>
      <w:r>
        <w:rPr/>
        <w:t xml:space="preserve">Institut f. klin. Transfusionsmedizin</w:t>
      </w:r>
    </w:p>
    <w:p>
      <w:pPr>
        <w:pStyle w:val="AutorStrasse"/>
        <w:rPr/>
      </w:pPr>
      <w:r>
        <w:rPr/>
        <w:t xml:space="preserve">Helmholtzstr. 10</w:t>
      </w:r>
    </w:p>
    <w:p>
      <w:pPr>
        <w:pStyle w:val="AutorStadt"/>
        <w:rPr/>
      </w:pPr>
      <w:r>
        <w:rPr>
          <w:rStyle w:val="zip"/>
        </w:rPr>
        <w:t xml:space="preserve">89081</w:t>
      </w:r>
      <w:r>
        <w:rPr/>
        <w:t xml:space="preserve"> </w:t>
      </w:r>
      <w:r>
        <w:rPr>
          <w:rStyle w:val="city"/>
        </w:rPr>
        <w:t xml:space="preserve">Ulm</w:t>
      </w:r>
    </w:p>
    <w:p>
      <w:pPr>
        <w:pStyle w:val="AutorTelefon"/>
        <w:rPr/>
      </w:pPr>
      <w:r>
        <w:rPr>
          <w:rStyle w:val="Absatz-Standardschriftart"/>
        </w:rPr>
        <w:t xml:space="preserve">Tel: </w:t>
      </w:r>
      <w:r>
        <w:rPr>
          <w:rStyle w:val="faxnr"/>
        </w:rPr>
        <w:t xml:space="preserve">0731 150-550</w:t>
      </w:r>
    </w:p>
    <w:p>
      <w:pPr>
        <w:pStyle w:val="AutorTelefax"/>
        <w:rPr/>
      </w:pPr>
      <w:r>
        <w:rPr>
          <w:rStyle w:val="Absatz-Standardschriftart"/>
        </w:rPr>
        <w:t xml:space="preserve">Fax: </w:t>
      </w:r>
      <w:r>
        <w:rPr>
          <w:rStyle w:val="faxnr"/>
        </w:rPr>
        <w:t xml:space="preserve">0731 150-500</w:t>
      </w:r>
    </w:p>
    <w:p>
      <w:pPr>
        <w:pStyle w:val="AutorEmail"/>
        <w:rPr/>
      </w:pPr>
      <w:hyperlink r:id="rIdID0EVC">
        <w:r>
          <w:rPr>
            <w:rStyle w:val="Hyperlink"/>
          </w:rPr>
          <w:t xml:space="preserve">h.schrezenmeier@blutspende.de</w:t>
        </w:r>
      </w:hyperlink>
    </w:p>
    <w:p>
      <w:pPr>
        <w:pStyle w:val="AutorName"/>
        <w:rPr>
          <w:b/>
        </w:rPr>
      </w:pPr>
      <w:r>
        <w:rPr>
          <w:rStyle w:val="salutation"/>
        </w:rPr>
        <w:t xml:space="preserve">Univ.-Prof. Dr. med.</w:t>
      </w:r>
      <w:r>
        <w:rPr>
          <w:b/>
        </w:rPr>
        <w:t xml:space="preserve"> </w:t>
      </w:r>
      <w:r>
        <w:rPr>
          <w:rStyle w:val="firstname"/>
        </w:rPr>
        <w:t xml:space="preserve">Tim Henrik</w:t>
      </w:r>
      <w:r>
        <w:rPr>
          <w:b/>
        </w:rPr>
        <w:t xml:space="preserve"> </w:t>
      </w:r>
      <w:r>
        <w:rPr>
          <w:rStyle w:val="lastname"/>
        </w:rPr>
        <w:t xml:space="preserve">Brümmendorf</w:t>
      </w:r>
    </w:p>
    <w:p>
      <w:pPr>
        <w:pStyle w:val="AutorFirma"/>
        <w:rPr/>
      </w:pPr>
      <w:r>
        <w:rPr/>
        <w:t xml:space="preserve">Universitätsklinikum Aachen</w:t>
      </w:r>
      <w:r>
        <w:rPr>
          <w:rStyle w:val="Absatz-Standardschriftart"/>
        </w:rPr>
        <w:br/>
      </w:r>
      <w:r>
        <w:rPr/>
        <w:t xml:space="preserve">Medizinische Klinik IV</w:t>
      </w:r>
      <w:r>
        <w:rPr>
          <w:rStyle w:val="Absatz-Standardschriftart"/>
        </w:rPr>
        <w:br/>
      </w:r>
      <w:r>
        <w:rPr/>
        <w:t xml:space="preserve">Hämatologie und Onkologie</w:t>
      </w:r>
    </w:p>
    <w:p>
      <w:pPr>
        <w:pStyle w:val="AutorStrasse"/>
        <w:rPr/>
      </w:pPr>
      <w:r>
        <w:rPr/>
        <w:t xml:space="preserve">Pauwelsstr. 30</w:t>
      </w:r>
    </w:p>
    <w:p>
      <w:pPr>
        <w:pStyle w:val="AutorStadt"/>
        <w:rPr/>
      </w:pPr>
      <w:r>
        <w:rPr>
          <w:rStyle w:val="zip"/>
        </w:rPr>
        <w:t xml:space="preserve">52074</w:t>
      </w:r>
      <w:r>
        <w:rPr/>
        <w:t xml:space="preserve"> </w:t>
      </w:r>
      <w:r>
        <w:rPr>
          <w:rStyle w:val="city"/>
        </w:rPr>
        <w:t xml:space="preserve">Aachen</w:t>
      </w:r>
    </w:p>
    <w:p>
      <w:pPr>
        <w:pStyle w:val="AutorTelefon"/>
        <w:rPr/>
      </w:pPr>
      <w:r>
        <w:rPr>
          <w:rStyle w:val="Absatz-Standardschriftart"/>
        </w:rPr>
        <w:t xml:space="preserve">Tel: </w:t>
      </w:r>
      <w:r>
        <w:rPr>
          <w:rStyle w:val="faxnr"/>
        </w:rPr>
        <w:t xml:space="preserve">0241 80-89805</w:t>
      </w:r>
    </w:p>
    <w:p>
      <w:pPr>
        <w:pStyle w:val="AutorTelefax"/>
        <w:rPr/>
      </w:pPr>
      <w:r>
        <w:rPr>
          <w:rStyle w:val="Absatz-Standardschriftart"/>
        </w:rPr>
        <w:t xml:space="preserve">Fax: </w:t>
      </w:r>
      <w:r>
        <w:rPr>
          <w:rStyle w:val="faxnr"/>
        </w:rPr>
        <w:t xml:space="preserve">0241 80-82449</w:t>
      </w:r>
    </w:p>
    <w:p>
      <w:pPr>
        <w:pStyle w:val="AutorEmail"/>
        <w:rPr/>
      </w:pPr>
      <w:hyperlink r:id="rIdID0EHD">
        <w:r>
          <w:rPr>
            <w:rStyle w:val="Hyperlink"/>
          </w:rPr>
          <w:t xml:space="preserve">tbruemmendorf@ukaachen.de</w:t>
        </w:r>
      </w:hyperlink>
    </w:p>
    <w:p>
      <w:pPr>
        <w:pStyle w:val="AutorName"/>
        <w:rPr>
          <w:b/>
        </w:rPr>
      </w:pPr>
      <w:r>
        <w:rPr>
          <w:rStyle w:val="salutation"/>
        </w:rPr>
        <w:t xml:space="preserve">Univ.-Prof. Dr.</w:t>
      </w:r>
      <w:r>
        <w:rPr>
          <w:b/>
        </w:rPr>
        <w:t xml:space="preserve"> </w:t>
      </w:r>
      <w:r>
        <w:rPr>
          <w:rStyle w:val="firstname"/>
        </w:rPr>
        <w:t xml:space="preserve">Werner</w:t>
      </w:r>
      <w:r>
        <w:rPr>
          <w:b/>
        </w:rPr>
        <w:t xml:space="preserve"> </w:t>
      </w:r>
      <w:r>
        <w:rPr>
          <w:rStyle w:val="lastname"/>
        </w:rPr>
        <w:t xml:space="preserve">Linkesch</w:t>
      </w:r>
    </w:p>
    <w:p>
      <w:pPr>
        <w:pStyle w:val="AutorFirma"/>
        <w:rPr/>
      </w:pPr>
      <w:r>
        <w:rPr/>
        <w:t xml:space="preserve">Universität Graz</w:t>
      </w:r>
      <w:r>
        <w:rPr>
          <w:rStyle w:val="Absatz-Standardschriftart"/>
        </w:rPr>
        <w:br/>
      </w:r>
      <w:r>
        <w:rPr/>
        <w:t xml:space="preserve">Medizinische Universitätsklinik</w:t>
      </w:r>
      <w:r>
        <w:rPr>
          <w:rStyle w:val="Absatz-Standardschriftart"/>
        </w:rPr>
        <w:br/>
      </w:r>
      <w:r>
        <w:rPr/>
        <w:t xml:space="preserve">Klinische Abteilung für Hämatologie</w:t>
      </w:r>
    </w:p>
    <w:p>
      <w:pPr>
        <w:pStyle w:val="AutorStrasse"/>
        <w:rPr/>
      </w:pPr>
      <w:r>
        <w:rPr/>
        <w:t xml:space="preserve">Auenbrugger Platz 15</w:t>
      </w:r>
    </w:p>
    <w:p>
      <w:pPr>
        <w:pStyle w:val="AutorStadt"/>
        <w:rPr/>
      </w:pPr>
      <w:r>
        <w:rPr>
          <w:rStyle w:val="zip"/>
        </w:rPr>
        <w:t xml:space="preserve">A-8036</w:t>
      </w:r>
      <w:r>
        <w:rPr/>
        <w:t xml:space="preserve"> </w:t>
      </w:r>
      <w:r>
        <w:rPr>
          <w:rStyle w:val="city"/>
        </w:rPr>
        <w:t xml:space="preserve">Graz</w:t>
      </w:r>
    </w:p>
    <w:p>
      <w:pPr>
        <w:pStyle w:val="AutorTelefon"/>
        <w:rPr/>
      </w:pPr>
      <w:r>
        <w:rPr>
          <w:rStyle w:val="Absatz-Standardschriftart"/>
        </w:rPr>
        <w:t xml:space="preserve">Tel: </w:t>
      </w:r>
      <w:r>
        <w:rPr>
          <w:rStyle w:val="faxnr"/>
        </w:rPr>
        <w:t xml:space="preserve">0043 316 385 4086</w:t>
      </w:r>
    </w:p>
    <w:p>
      <w:pPr>
        <w:pStyle w:val="AutorTelefax"/>
        <w:rPr/>
      </w:pPr>
      <w:r>
        <w:rPr>
          <w:rStyle w:val="Absatz-Standardschriftart"/>
        </w:rPr>
        <w:t xml:space="preserve">Fax: </w:t>
      </w:r>
      <w:r>
        <w:rPr>
          <w:rStyle w:val="faxnr"/>
        </w:rPr>
        <w:t xml:space="preserve">0043 316 385 4087</w:t>
      </w:r>
    </w:p>
    <w:p>
      <w:pPr>
        <w:pStyle w:val="AutorEmail"/>
        <w:rPr/>
      </w:pPr>
      <w:hyperlink r:id="rIdID0E2D">
        <w:r>
          <w:rPr>
            <w:rStyle w:val="Hyperlink"/>
          </w:rPr>
          <w:t xml:space="preserve">werner.linkesch@meduni-graz.at</w:t>
        </w:r>
      </w:hyperlink>
    </w:p>
    <w:p>
      <w:pPr>
        <w:pStyle w:val="AutorName"/>
        <w:rPr>
          <w:b/>
        </w:rPr>
      </w:pPr>
      <w:r>
        <w:rPr>
          <w:rStyle w:val="salutation"/>
        </w:rPr>
        <w:t xml:space="preserve">Prof. Dr. med.</w:t>
      </w:r>
      <w:r>
        <w:rPr>
          <w:b/>
        </w:rPr>
        <w:t xml:space="preserve"> </w:t>
      </w:r>
      <w:r>
        <w:rPr>
          <w:rStyle w:val="firstname"/>
        </w:rPr>
        <w:t xml:space="preserve">Jörg</w:t>
      </w:r>
      <w:r>
        <w:rPr>
          <w:b/>
        </w:rPr>
        <w:t xml:space="preserve"> </w:t>
      </w:r>
      <w:r>
        <w:rPr>
          <w:rStyle w:val="lastname"/>
        </w:rPr>
        <w:t xml:space="preserve">Schubert</w:t>
      </w:r>
    </w:p>
    <w:p>
      <w:pPr>
        <w:pStyle w:val="AutorFirma"/>
        <w:rPr/>
      </w:pPr>
      <w:r>
        <w:rPr/>
        <w:t xml:space="preserve">Elblandklinikum Riesa</w:t>
      </w:r>
    </w:p>
    <w:p>
      <w:pPr>
        <w:pStyle w:val="AutorStrasse"/>
        <w:rPr/>
      </w:pPr>
      <w:r>
        <w:rPr/>
        <w:t xml:space="preserve">Weinbergstr. 8</w:t>
      </w:r>
    </w:p>
    <w:p>
      <w:pPr>
        <w:pStyle w:val="AutorStadt"/>
        <w:rPr/>
      </w:pPr>
      <w:r>
        <w:rPr>
          <w:rStyle w:val="zip"/>
        </w:rPr>
        <w:t xml:space="preserve">01589</w:t>
      </w:r>
      <w:r>
        <w:rPr/>
        <w:t xml:space="preserve"> </w:t>
      </w:r>
      <w:r>
        <w:rPr>
          <w:rStyle w:val="city"/>
        </w:rPr>
        <w:t xml:space="preserve">Riesa</w:t>
      </w:r>
    </w:p>
    <w:p>
      <w:pPr>
        <w:pStyle w:val="AutorTelefon"/>
        <w:rPr/>
      </w:pPr>
      <w:r>
        <w:rPr>
          <w:rStyle w:val="Absatz-Standardschriftart"/>
        </w:rPr>
        <w:t xml:space="preserve">Tel: </w:t>
      </w:r>
      <w:r>
        <w:rPr>
          <w:rStyle w:val="faxnr"/>
        </w:rPr>
        <w:t xml:space="preserve">03525 755756</w:t>
      </w:r>
    </w:p>
    <w:p>
      <w:pPr>
        <w:pStyle w:val="AutorEmail"/>
        <w:rPr/>
      </w:pPr>
      <w:hyperlink r:id="rIdID0EPE">
        <w:r>
          <w:rPr>
            <w:rStyle w:val="Hyperlink"/>
          </w:rPr>
          <w:t xml:space="preserve">joerg.schubert@elblandkliniken.de</w:t>
        </w:r>
      </w:hyperlink>
    </w:p>
    <w:p>
      <w:pPr>
        <w:pStyle w:val="AutorName"/>
        <w:rPr>
          <w:b/>
        </w:rPr>
      </w:pPr>
      <w:r>
        <w:rPr>
          <w:rStyle w:val="salutation"/>
        </w:rPr>
        <w:t xml:space="preserve">PD Dr. med.</w:t>
      </w:r>
      <w:r>
        <w:rPr>
          <w:b/>
        </w:rPr>
        <w:t xml:space="preserve"> </w:t>
      </w:r>
      <w:r>
        <w:rPr>
          <w:rStyle w:val="firstname"/>
        </w:rPr>
        <w:t xml:space="preserve">Alexander</w:t>
      </w:r>
      <w:r>
        <w:rPr>
          <w:b/>
        </w:rPr>
        <w:t xml:space="preserve"> </w:t>
      </w:r>
      <w:r>
        <w:rPr>
          <w:rStyle w:val="lastname"/>
        </w:rPr>
        <w:t xml:space="preserve">Röth</w:t>
      </w:r>
    </w:p>
    <w:p>
      <w:pPr>
        <w:pStyle w:val="AutorFirma"/>
        <w:rPr/>
      </w:pPr>
      <w:r>
        <w:rPr/>
        <w:t xml:space="preserve">Universitätsklinikum Essen</w:t>
      </w:r>
      <w:r>
        <w:rPr>
          <w:rStyle w:val="Absatz-Standardschriftart"/>
        </w:rPr>
        <w:br/>
      </w:r>
      <w:r>
        <w:rPr/>
        <w:t xml:space="preserve">Klinik für Hämatologie</w:t>
      </w:r>
      <w:r>
        <w:rPr>
          <w:rStyle w:val="Absatz-Standardschriftart"/>
        </w:rPr>
        <w:br/>
      </w:r>
      <w:r>
        <w:rPr/>
        <w:t xml:space="preserve">Westdeutsches Tumorzentrum</w:t>
      </w:r>
    </w:p>
    <w:p>
      <w:pPr>
        <w:pStyle w:val="AutorStrasse"/>
        <w:rPr/>
      </w:pPr>
      <w:r>
        <w:rPr/>
        <w:t xml:space="preserve">Hufelandstr. 55</w:t>
      </w:r>
    </w:p>
    <w:p>
      <w:pPr>
        <w:pStyle w:val="AutorStadt"/>
        <w:rPr/>
      </w:pPr>
      <w:r>
        <w:rPr>
          <w:rStyle w:val="zip"/>
        </w:rPr>
        <w:t xml:space="preserve">45122</w:t>
      </w:r>
      <w:r>
        <w:rPr/>
        <w:t xml:space="preserve"> </w:t>
      </w:r>
      <w:r>
        <w:rPr>
          <w:rStyle w:val="city"/>
        </w:rPr>
        <w:t xml:space="preserve">Essen</w:t>
      </w:r>
    </w:p>
    <w:p>
      <w:pPr>
        <w:pStyle w:val="AutorTelefon"/>
        <w:rPr/>
      </w:pPr>
      <w:r>
        <w:rPr>
          <w:rStyle w:val="Absatz-Standardschriftart"/>
        </w:rPr>
        <w:t xml:space="preserve">Tel: </w:t>
      </w:r>
      <w:r>
        <w:rPr>
          <w:rStyle w:val="faxnr"/>
        </w:rPr>
        <w:t xml:space="preserve">0201 723-84219</w:t>
      </w:r>
    </w:p>
    <w:p>
      <w:pPr>
        <w:pStyle w:val="AutorTelefax"/>
        <w:rPr/>
      </w:pPr>
      <w:r>
        <w:rPr>
          <w:rStyle w:val="Absatz-Standardschriftart"/>
        </w:rPr>
        <w:t xml:space="preserve">Fax: </w:t>
      </w:r>
      <w:r>
        <w:rPr>
          <w:rStyle w:val="faxnr"/>
        </w:rPr>
        <w:t xml:space="preserve">0201 723-1716</w:t>
      </w:r>
    </w:p>
    <w:p>
      <w:pPr>
        <w:pStyle w:val="AutorEmail"/>
        <w:rPr/>
      </w:pPr>
      <w:hyperlink r:id="rIdID0E5E">
        <w:r>
          <w:rPr>
            <w:rStyle w:val="Hyperlink"/>
          </w:rPr>
          <w:t xml:space="preserve">alexander.roeth@uk-essen.de</w:t>
        </w:r>
      </w:hyperlink>
    </w:p>
    <w:p>
      <w:pPr>
        <w:pStyle w:val="AutorName"/>
        <w:rPr>
          <w:b/>
        </w:rPr>
      </w:pPr>
      <w:r>
        <w:rPr>
          <w:rStyle w:val="salutation"/>
        </w:rPr>
        <w:t xml:space="preserve">Dr. med.</w:t>
      </w:r>
      <w:r>
        <w:rPr>
          <w:b/>
        </w:rPr>
        <w:t xml:space="preserve"> </w:t>
      </w:r>
      <w:r>
        <w:rPr>
          <w:rStyle w:val="firstname"/>
        </w:rPr>
        <w:t xml:space="preserve">Britta</w:t>
      </w:r>
      <w:r>
        <w:rPr>
          <w:b/>
        </w:rPr>
        <w:t xml:space="preserve"> </w:t>
      </w:r>
      <w:r>
        <w:rPr>
          <w:rStyle w:val="lastname"/>
        </w:rPr>
        <w:t xml:space="preserve">Höchsmann</w:t>
      </w:r>
    </w:p>
    <w:p>
      <w:pPr>
        <w:pStyle w:val="AutorFirma"/>
        <w:rPr/>
      </w:pPr>
      <w:r>
        <w:rPr/>
        <w:t xml:space="preserve">Universitätsklinik Ulm</w:t>
      </w:r>
      <w:r>
        <w:rPr>
          <w:rStyle w:val="Absatz-Standardschriftart"/>
        </w:rPr>
        <w:br/>
      </w:r>
      <w:r>
        <w:rPr/>
        <w:t xml:space="preserve">Institut für Klinische Transfusionsmedizin und Immungenetik</w:t>
      </w:r>
    </w:p>
    <w:p>
      <w:pPr>
        <w:pStyle w:val="AutorStrasse"/>
        <w:rPr/>
      </w:pPr>
      <w:r>
        <w:rPr/>
        <w:t xml:space="preserve">Helmholtzstr. 10</w:t>
      </w:r>
    </w:p>
    <w:p>
      <w:pPr>
        <w:pStyle w:val="AutorStadt"/>
        <w:rPr/>
      </w:pPr>
      <w:r>
        <w:rPr>
          <w:rStyle w:val="zip"/>
        </w:rPr>
        <w:t xml:space="preserve">89081</w:t>
      </w:r>
      <w:r>
        <w:rPr/>
        <w:t xml:space="preserve"> </w:t>
      </w:r>
      <w:r>
        <w:rPr>
          <w:rStyle w:val="city"/>
        </w:rPr>
        <w:t xml:space="preserve">Ulm</w:t>
      </w:r>
    </w:p>
    <w:p>
      <w:pPr>
        <w:pStyle w:val="AutorTelefon"/>
        <w:rPr/>
      </w:pPr>
      <w:r>
        <w:rPr>
          <w:rStyle w:val="Absatz-Standardschriftart"/>
        </w:rPr>
        <w:t xml:space="preserve">Tel: </w:t>
      </w:r>
      <w:r>
        <w:rPr>
          <w:rStyle w:val="faxnr"/>
        </w:rPr>
        <w:t xml:space="preserve">0731 150-560</w:t>
      </w:r>
    </w:p>
    <w:p>
      <w:pPr>
        <w:pStyle w:val="AutorTelefax"/>
        <w:rPr/>
      </w:pPr>
      <w:r>
        <w:rPr>
          <w:rStyle w:val="Absatz-Standardschriftart"/>
        </w:rPr>
        <w:t xml:space="preserve">Fax: </w:t>
      </w:r>
      <w:r>
        <w:rPr>
          <w:rStyle w:val="faxnr"/>
        </w:rPr>
        <w:t xml:space="preserve">0731 150-500</w:t>
      </w:r>
    </w:p>
    <w:p>
      <w:pPr>
        <w:pStyle w:val="AutorEmail"/>
        <w:rPr/>
      </w:pPr>
      <w:hyperlink r:id="rIdID0ESF">
        <w:r>
          <w:rPr>
            <w:rStyle w:val="Hyperlink"/>
          </w:rPr>
          <w:t xml:space="preserve">b.hoechsmann@blutspende.de</w:t>
        </w:r>
      </w:hyperlink>
    </w:p>
    <w:p>
      <w:pPr>
        <w:pStyle w:val="AutorName"/>
        <w:rPr>
          <w:b/>
        </w:rPr>
      </w:pPr>
      <w:r>
        <w:rPr>
          <w:rStyle w:val="salutation"/>
        </w:rPr>
        <w:t xml:space="preserve">Dr. med.</w:t>
      </w:r>
      <w:r>
        <w:rPr>
          <w:b/>
        </w:rPr>
        <w:t xml:space="preserve"> </w:t>
      </w:r>
      <w:r>
        <w:rPr>
          <w:rStyle w:val="firstname"/>
        </w:rPr>
        <w:t xml:space="preserve">Hans Joachim</w:t>
      </w:r>
      <w:r>
        <w:rPr>
          <w:b/>
        </w:rPr>
        <w:t xml:space="preserve"> </w:t>
      </w:r>
      <w:r>
        <w:rPr>
          <w:rStyle w:val="lastname"/>
        </w:rPr>
        <w:t xml:space="preserve">Deeg</w:t>
      </w:r>
    </w:p>
    <w:p>
      <w:pPr>
        <w:pStyle w:val="AutorFirma"/>
        <w:rPr/>
      </w:pPr>
      <w:r>
        <w:rPr/>
        <w:t xml:space="preserve">Fred Hutchinson Cancer Research Center</w:t>
      </w:r>
      <w:r>
        <w:rPr>
          <w:rStyle w:val="Absatz-Standardschriftart"/>
        </w:rPr>
        <w:br/>
      </w:r>
      <w:r>
        <w:rPr/>
        <w:t xml:space="preserve">1100 Fair view Ave. N. D1-100</w:t>
      </w:r>
    </w:p>
    <w:p>
      <w:pPr>
        <w:pStyle w:val="AutorStrasse"/>
        <w:rPr/>
      </w:pPr>
      <w:r>
        <w:rPr/>
        <w:t xml:space="preserve">P.O. Box 19024</w:t>
      </w:r>
    </w:p>
    <w:p>
      <w:pPr>
        <w:pStyle w:val="AutorStadt"/>
        <w:rPr/>
      </w:pPr>
      <w:r>
        <w:rPr>
          <w:rStyle w:val="zip"/>
        </w:rPr>
        <w:t xml:space="preserve">US-</w:t>
      </w:r>
      <w:r>
        <w:rPr/>
        <w:t xml:space="preserve"> </w:t>
      </w:r>
      <w:r>
        <w:rPr>
          <w:rStyle w:val="city"/>
        </w:rPr>
        <w:t xml:space="preserve">Seattle- Wa 98109-1024</w:t>
      </w:r>
    </w:p>
    <w:p>
      <w:pPr>
        <w:pStyle w:val="AutorTelefon"/>
        <w:rPr/>
      </w:pPr>
      <w:r>
        <w:rPr>
          <w:rStyle w:val="Absatz-Standardschriftart"/>
        </w:rPr>
        <w:t xml:space="preserve">Tel: </w:t>
      </w:r>
      <w:r>
        <w:rPr>
          <w:rStyle w:val="faxnr"/>
        </w:rPr>
        <w:t xml:space="preserve">001 206 667-5985</w:t>
      </w:r>
    </w:p>
    <w:p>
      <w:pPr>
        <w:pStyle w:val="AutorTelefax"/>
        <w:rPr/>
      </w:pPr>
      <w:r>
        <w:rPr>
          <w:rStyle w:val="Absatz-Standardschriftart"/>
        </w:rPr>
        <w:t xml:space="preserve">Fax: </w:t>
      </w:r>
      <w:r>
        <w:rPr>
          <w:rStyle w:val="faxnr"/>
        </w:rPr>
        <w:t xml:space="preserve">001 206 667-6124</w:t>
      </w:r>
    </w:p>
    <w:p>
      <w:pPr>
        <w:pStyle w:val="AutorEmail"/>
        <w:rPr/>
      </w:pPr>
      <w:hyperlink r:id="rIdID0EEG">
        <w:r>
          <w:rPr>
            <w:rStyle w:val="Hyperlink"/>
          </w:rPr>
          <w:t xml:space="preserve">jdeeg@fhcrc.org</w:t>
        </w:r>
      </w:hyperlink>
    </w:p>
    <w:p>
      <w:pPr>
        <w:pStyle w:val="berschrift1"/>
        <w:rPr/>
      </w:pPr>
      <w:bookmarkStart w:id="10713" w:name="head-disclosure-conflicts"/>
      <w:bookmarkEnd w:id="10713"/>
      <w:r>
        <w:rPr/>
        <w:t xml:space="preserve">Offenlegung potentieller Interessenkonflikte</w:t>
      </w:r>
    </w:p>
    <w:p>
      <w:pPr>
        <w:pStyle w:val="Standard"/>
        <w:rPr/>
      </w:pPr>
      <w:bookmarkStart w:id="10714" w:name="ID0EE6BG"/>
      <w:bookmarkEnd w:id="10714"/>
      <w:r>
        <w:rPr/>
        <w:t xml:space="preserve">nach den Regeln der DGHO Deutsche Gesellschaft für Hämatologie und Medizinische Onkologie und den Empfehlungen der AWMF (Version vom 23. April 2010) und internationalen Empfehlungen</w:t>
      </w:r>
    </w:p>
    <w:sectPr w:rsidR="00FF0C3B" w:rsidRPr="00B725F1" w:rsidSect="00522E3C">
      <w:headerReference w:type="even" r:id="rId8"/>
      <w:headerReference w:type="default" r:id="rId9"/>
      <w:footerReference w:type="default" r:id="rId10"/>
      <w:headerReference w:type="first" r:id="rId11"/>
      <w:footerReference w:type="first" r:id="rId12"/>
      <w:pgSz w:w="11906" w:h="16838" w:code="9" w:orient="portrait"/>
      <w:pgMar w:top="1134" w:right="567" w:bottom="1701" w:left="1701" w:header="709" w:footer="709" w:gutter="0"/>
      <w:pgNumType w:start="0"/>
      <w:cols w:space="708"/>
      <w:titlePg/>
      <w:docGrid w:linePitch="360"/>
    </w:sectPr>
  </w:body>
</w:document>
</file>

<file path=word/endnotes.xml><?xml version="1.0" encoding="utf-8"?>
<w:endnotes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endnote w:type="separator" w:id="-1">
    <w:p w:rsidR="00214BA4" w:rsidRDefault="00214BA4" w:rsidP="006778AD">
      <w:pPr>
        <w:spacing w:after="0"/>
      </w:pPr>
      <w:r>
        <w:separator/>
      </w:r>
    </w:p>
  </w:endnote>
  <w:endnote w:type="continuationSeparator" w:id="0">
    <w:p w:rsidR="00214BA4" w:rsidRDefault="00214BA4" w:rsidP="006778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OfficinaSans Book">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9C2" w:rsidRDefault="00214BA4" w:rsidP="00B725F1">
    <w:pPr>
      <w:pStyle w:val="Fuzeile"/>
      <w:tabs>
        <w:tab w:val="left" w:pos="1418"/>
      </w:tabs>
      <w:rPr>
        <w:noProof/>
      </w:rPr>
    </w:pPr>
    <w:r>
      <w:rPr>
        <w:noProof/>
        <w:lang w:eastAsia="de-DE"/>
      </w:rPr>
      <w:pict>
        <v:line id="Gerader Verbinder 3" o:spid="_x0000_s2054" style="position:absolute;flip:y;z-index:251667456;visibility:visible;mso-position-horizontal:left;mso-position-horizontal-relative:margin;mso-position-vertical-relative:page;mso-width-relative:margin;mso-height-relative:margin" from="0,765.1pt" to="479.55pt,7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" strokecolor="#93c573 [3207]" strokeweight=".5pt">
          <v:stroke joinstyle="miter"/>
          <w10:wrap type="topAndBottom" anchorx="margin" anchory="page"/>
        </v:line>
      </w:pict>
    </w:r>
    <w:r w:rsidR="00F55A89" w:rsidRPr="00F55A89">
      <w:t xml:space="preserve"> </w:t>
    </w:r>
    <w:r w:rsidR="00F55A89">
      <w:t>Zuletzt geändert:</w:t>
    </w:r>
    <w:r w:rsidR="00F55A89">
      <w:tab/>
    </w:r>
    <w:r w:rsidR="00F55A89">
      <w:fldChar w:fldCharType="begin"/>
    </w:r>
    <w:r w:rsidR="00F55A89">
      <w:instrText xml:space="preserve"> SAVEDATE  \@ "dd.MM.yyyy HH:mm"  \* MERGEFORMAT </w:instrText>
    </w:r>
    <w:r w:rsidR="00F55A89">
      <w:fldChar w:fldCharType="separate"/>
    </w:r>
    <w:r w:rsidR="00102CD8">
      <w:rPr>
        <w:noProof/>
      </w:rPr>
      <w:t>12.07.2015 10:56</w:t>
    </w:r>
    <w:r w:rsidR="00F55A89">
      <w:fldChar w:fldCharType="end"/>
    </w:r>
    <w:r w:rsidR="00DF0910">
      <w:tab/>
      <w:t xml:space="preserve">Seite </w:t>
    </w:r>
    <w:r w:rsidR="00DF0910">
      <w:fldChar w:fldCharType="begin"/>
    </w:r>
    <w:r w:rsidR="00DF0910">
      <w:instrText>PAGE  \* Arabic  \* MERGEFORMAT</w:instrText>
    </w:r>
    <w:r w:rsidR="00DF0910">
      <w:fldChar w:fldCharType="separate"/>
    </w:r>
    <w:r w:rsidR="00102CD8">
      <w:rPr>
        <w:noProof/>
      </w:rPr>
      <w:t>1</w:t>
    </w:r>
    <w:r w:rsidR="00DF0910">
      <w:fldChar w:fldCharType="end"/>
    </w:r>
    <w:r w:rsidR="00DF0910">
      <w:t xml:space="preserve"> von </w:t>
    </w:r>
    <w:r>
      <w:fldChar w:fldCharType="begin"/>
    </w:r>
    <w:r>
      <w:instrText>NUMPAGES  \* Arabic  \* MERGEFORMAT</w:instrText>
    </w:r>
    <w:r>
      <w:fldChar w:fldCharType="separate"/>
    </w:r>
    <w:r w:rsidR="00102CD8">
      <w:rPr>
        <w:noProof/>
      </w:rPr>
      <w:t>1</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9C2" w:rsidRDefault="00214BA4" w:rsidP="00795478">
    <w:pPr>
      <w:pStyle w:val="Kopfzeile"/>
    </w:pPr>
    <w:r>
      <w:rPr>
        <w:noProof/>
        <w:lang w:eastAsia="de-DE"/>
      </w:rPr>
      <w:pict>
        <v:line id="Gerader Verbinder 2" o:spid="_x0000_s2052" style="position:absolute;flip:y;z-index:251665408;visibility:visible;mso-position-horizontal:right;mso-position-horizontal-relative:margin;mso-position-vertical-relative:page;mso-width-relative:margin;mso-height-relative:margin" from="12466.95pt,764.2pt" to="12946.5pt,7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" strokecolor="#93c573 [3207]" strokeweight=".5pt">
          <v:stroke joinstyle="miter"/>
          <w10:wrap type="topAndBottom" anchorx="margin" anchory="page"/>
        </v:line>
      </w:pict>
    </w:r>
  </w:p>
</w:ftr>
</file>

<file path=word/footnotes.xml><?xml version="1.0" encoding="utf-8"?>
<w:footnotes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rsidR="00214BA4" w:rsidRDefault="00214BA4" w:rsidP="006778AD">
      <w:pPr>
        <w:spacing w:after="0"/>
      </w:pPr>
      <w:r>
        <w:separator/>
      </w:r>
    </w:p>
  </w:footnote>
  <w:footnote w:type="continuationSeparator" w:id="0">
    <w:p w:rsidR="00214BA4" w:rsidRDefault="00214BA4" w:rsidP="006778A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78AD" w:rsidRDefault="00214BA4">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047255" o:spid="_x0000_s2050" type="#_x0000_t136" style="position:absolute;margin-left:0;margin-top:0;width:643.65pt;height:35.75pt;rotation:315;z-index:-251655168;mso-position-horizontal:center;mso-position-horizontal-relative:margin;mso-position-vertical:center;mso-position-vertical-relative:margin" o:allowincell="f" fillcolor="#e7e6e6 [3214]" stroked="f">
          <v:fill opacity=".5"/>
          <v:textpath style="font-family:&quot;Arial&quot;;font-size:1pt" string="DGHO Onkopedia-Manuskript aus XM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78AD" w:rsidRDefault="00214BA4">
    <w:pPr>
      <w:pStyle w:val="Kopfzeile"/>
    </w:pPr>
    <w:r>
      <w:rPr>
        <w:noProof/>
        <w:lang w:eastAsia="de-DE"/>
      </w:rPr>
      <w:pict>
        <v:line id="Gerader Verbinder 4" o:spid="_x0000_s2055" style="position:absolute;flip:y;z-index:251669504;visibility:visible;mso-position-horizontal:left;mso-position-horizontal-relative:margin;mso-position-vertical-relative:page;mso-width-relative:margin;mso-height-relative:margin" from="0,50.85pt" to="479.55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" strokecolor="#93c573 [3207]" strokeweight=".5pt">
          <v:stroke joinstyle="miter"/>
          <w10:wrap type="topAndBottom" anchorx="margin" anchory="page"/>
        </v:line>
      </w:pict>
    </w: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047256" o:spid="_x0000_s2051" type="#_x0000_t136" style="position:absolute;margin-left:0;margin-top:0;width:643.65pt;height:35.75pt;rotation:315;z-index:-251653120;mso-position-horizontal:center;mso-position-horizontal-relative:margin;mso-position-vertical:center;mso-position-vertical-relative:margin" o:allowincell="f" fillcolor="#e7e6e6 [3214]" stroked="f">
          <v:fill opacity=".5"/>
          <v:textpath style="font-family:&quot;Arial&quot;;font-size:1pt" string="DGHO Onkopedia-Manuskript aus XML"/>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78AD" w:rsidRDefault="00214BA4" w:rsidP="00795478">
    <w:pPr>
      <w:pStyle w:val="Kopfzeile"/>
    </w:pPr>
    <w:r>
      <w:rPr>
        <w:noProof/>
        <w:lang w:eastAsia="de-DE"/>
      </w:rPr>
      <w:pict>
        <v:line id="Gerader Verbinder 1" o:spid="_x0000_s2053" style="position:absolute;flip:y;z-index:251660287;visibility:visible;mso-position-horizontal:right;mso-position-horizontal-relative:margin;mso-position-vertical-relative:page;mso-width-relative:margin;mso-height-relative:margin" from="12442.3pt,51pt" to="12921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" strokecolor="#93c573 [3207]" strokeweight=".5pt">
          <v:stroke joinstyle="miter"/>
          <w10:wrap type="topAndBottom" anchorx="margin" anchory="page"/>
        </v:line>
      </w:pict>
    </w: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047254" o:spid="_x0000_s2049" type="#_x0000_t136" style="position:absolute;margin-left:0;margin-top:0;width:643.65pt;height:35.75pt;rotation:315;z-index:-251657216;mso-position-horizontal:center;mso-position-horizontal-relative:margin;mso-position-vertical:center;mso-position-vertical-relative:margin" o:allowincell="f" fillcolor="#e7e6e6 [3214]" stroked="f">
          <v:fill opacity=".5"/>
          <v:textpath style="font-family:&quot;Arial&quot;;font-size:1pt" string="DGHO Onkopedia-Manuskript aus XML"/>
          <w10:wrap anchorx="margin" anchory="margin"/>
        </v:shape>
      </w:pict>
    </w:r>
  </w:p>
</w:hdr>
</file>

<file path=word/numbering.xml><?xml version="1.0" encoding="utf-8"?>
<w:numbering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abstractNum w:abstractNumId="0" w15:restartNumberingAfterBreak="0">
    <w:nsid w:val="FFFFFF7C"/>
    <w:multiLevelType w:val="singleLevel"/>
    <w:tmpl w:val="39DE7AC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BB6E2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774F9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4B825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03C25A8"/>
    <w:lvl w:ilvl="0">
      <w:start w:val="1"/>
      <w:numFmt w:val="bullet"/>
      <w:pStyle w:val="Aufzhlungszeichen5"/>
      <w:lvlText w:val="•"/>
      <w:lvlJc w:val="left"/>
      <w:pPr>
        <w:ind w:left="1494" w:hanging="360"/>
      </w:pPr>
      <w:rPr>
        <w:rFonts w:ascii="Arial" w:hAnsi="Arial" w:hint="default"/>
        <w:color w:val="auto"/>
        <w:u w:val="none"/>
      </w:rPr>
    </w:lvl>
  </w:abstractNum>
  <w:abstractNum w:abstractNumId="5" w15:restartNumberingAfterBreak="0">
    <w:nsid w:val="FFFFFF81"/>
    <w:multiLevelType w:val="singleLevel"/>
    <w:tmpl w:val="4C42D370"/>
    <w:lvl w:ilvl="0">
      <w:numFmt w:val="bullet"/>
      <w:pStyle w:val="Aufzhlungszeichen4"/>
      <w:lvlText w:val="–"/>
      <w:lvlJc w:val="left"/>
      <w:pPr>
        <w:ind w:left="1211" w:hanging="360"/>
      </w:pPr>
      <w:rPr>
        <w:rFonts w:ascii="OfficinaSans Book" w:eastAsiaTheme="minorEastAsia" w:hAnsi="OfficinaSans Book" w:cs="Times New Roman" w:hint="default"/>
      </w:rPr>
    </w:lvl>
  </w:abstractNum>
  <w:abstractNum w:abstractNumId="6" w15:restartNumberingAfterBreak="0">
    <w:nsid w:val="FFFFFF82"/>
    <w:multiLevelType w:val="singleLevel"/>
    <w:tmpl w:val="FCFE54B2"/>
    <w:lvl w:ilvl="0">
      <w:numFmt w:val="bullet"/>
      <w:pStyle w:val="Aufzhlungszeichen3"/>
      <w:lvlText w:val="▫"/>
      <w:lvlJc w:val="left"/>
      <w:pPr>
        <w:ind w:left="927" w:hanging="360"/>
      </w:pPr>
      <w:rPr>
        <w:rFonts w:ascii="Arial" w:eastAsiaTheme="minorEastAsia" w:hAnsi="Arial" w:hint="default"/>
      </w:rPr>
    </w:lvl>
  </w:abstractNum>
  <w:abstractNum w:abstractNumId="7" w15:restartNumberingAfterBreak="0">
    <w:nsid w:val="FFFFFF83"/>
    <w:multiLevelType w:val="singleLevel"/>
    <w:tmpl w:val="C5560D40"/>
    <w:lvl w:ilvl="0">
      <w:numFmt w:val="bullet"/>
      <w:pStyle w:val="Aufzhlungszeichen2"/>
      <w:lvlText w:val="◦"/>
      <w:lvlJc w:val="left"/>
      <w:pPr>
        <w:ind w:left="644" w:hanging="360"/>
      </w:pPr>
      <w:rPr>
        <w:rFonts w:ascii="Arial" w:eastAsiaTheme="minorEastAsia" w:hAnsi="Arial" w:hint="default"/>
      </w:rPr>
    </w:lvl>
  </w:abstractNum>
  <w:abstractNum w:abstractNumId="8" w15:restartNumberingAfterBreak="0">
    <w:nsid w:val="FFFFFF88"/>
    <w:multiLevelType w:val="singleLevel"/>
    <w:tmpl w:val="19425A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BE3472"/>
    <w:lvl w:ilvl="0">
      <w:start w:val="1"/>
      <w:numFmt w:val="bullet"/>
      <w:pStyle w:val="Aufzhlungszeichen"/>
      <w:lvlText w:val="•"/>
      <w:lvlJc w:val="left"/>
      <w:pPr>
        <w:ind w:left="360" w:hanging="360"/>
      </w:pPr>
      <w:rPr>
        <w:rFonts w:ascii="Arial" w:hAnsi="Arial" w:hint="default"/>
        <w:color w:val="auto"/>
        <w:u w:val="none"/>
      </w:rPr>
    </w:lvl>
  </w:abstractNum>
  <w:abstractNum w:abstractNumId="10" w15:restartNumberingAfterBreak="0">
    <w:nsid w:val="047A5D76"/>
    <w:multiLevelType w:val="multilevel"/>
    <w:tmpl w:val="0407001D"/>
    <w:lvl w:ilvl="0">
      <w:start w:val="1"/>
      <w:numFmt w:val="decimal"/>
      <w:pStyle w:val="Listennummer"/>
      <w:lvlText w:val="%1."/>
      <w:lvlJc w:val="left"/>
      <w:pPr>
        <w:ind w:left="360" w:hanging="360"/>
      </w:pPr>
    </w:lvl>
    <w:lvl w:ilvl="1">
      <w:start w:val="1"/>
      <w:numFmt w:val="decimal"/>
      <w:pStyle w:val="Listennummer2"/>
      <w:lvlText w:val="%2."/>
      <w:lvlJc w:val="left"/>
      <w:pPr>
        <w:ind w:left="720" w:hanging="360"/>
      </w:pPr>
    </w:lvl>
    <w:lvl w:ilvl="2">
      <w:start w:val="1"/>
      <w:numFmt w:val="decimal"/>
      <w:pStyle w:val="Listennummer3"/>
      <w:lvlText w:val="%3."/>
      <w:lvlJc w:val="left"/>
      <w:pPr>
        <w:ind w:left="1080" w:hanging="360"/>
      </w:pPr>
    </w:lvl>
    <w:lvl w:ilvl="3">
      <w:start w:val="1"/>
      <w:numFmt w:val="decimal"/>
      <w:pStyle w:val="Listennummer4"/>
      <w:lvlText w:val="(%4)"/>
      <w:lvlJc w:val="left"/>
      <w:pPr>
        <w:ind w:left="1440" w:hanging="360"/>
      </w:pPr>
    </w:lvl>
    <w:lvl w:ilvl="4">
      <w:start w:val="1"/>
      <w:numFmt w:val="decimal"/>
      <w:pStyle w:val="Listennummer5"/>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13609A5"/>
    <w:multiLevelType w:val="multilevel"/>
    <w:tmpl w:val="04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8F046BE"/>
    <w:multiLevelType w:val="hybridMultilevel"/>
    <w:tmpl w:val="55CCC6DA"/>
    <w:lvl w:ilvl="0" w:tplc="3A2026FC">
      <w:numFmt w:val="bullet"/>
      <w:lvlText w:val="–"/>
      <w:lvlJc w:val="left"/>
      <w:pPr>
        <w:ind w:left="720" w:hanging="360"/>
      </w:pPr>
      <w:rPr>
        <w:rFonts w:ascii="OfficinaSans Book" w:eastAsiaTheme="minorEastAsia" w:hAnsi="OfficinaSans Book"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A2B7720"/>
    <w:multiLevelType w:val="hybridMultilevel"/>
    <w:tmpl w:val="930EFC2C"/>
    <w:lvl w:ilvl="0" w:tplc="3A2026FC">
      <w:numFmt w:val="bullet"/>
      <w:lvlText w:val="–"/>
      <w:lvlJc w:val="left"/>
      <w:pPr>
        <w:ind w:left="1854" w:hanging="360"/>
      </w:pPr>
      <w:rPr>
        <w:rFonts w:ascii="OfficinaSans Book" w:eastAsiaTheme="minorEastAsia" w:hAnsi="OfficinaSans Book" w:cs="Times New Roman" w:hint="default"/>
      </w:rPr>
    </w:lvl>
    <w:lvl w:ilvl="1" w:tplc="04070003" w:tentative="1">
      <w:start w:val="1"/>
      <w:numFmt w:val="bullet"/>
      <w:lvlText w:val="o"/>
      <w:lvlJc w:val="left"/>
      <w:pPr>
        <w:ind w:left="2574" w:hanging="360"/>
      </w:pPr>
      <w:rPr>
        <w:rFonts w:ascii="Courier New" w:hAnsi="Courier New" w:cs="Courier New" w:hint="default"/>
      </w:rPr>
    </w:lvl>
    <w:lvl w:ilvl="2" w:tplc="04070005" w:tentative="1">
      <w:start w:val="1"/>
      <w:numFmt w:val="bullet"/>
      <w:lvlText w:val=""/>
      <w:lvlJc w:val="left"/>
      <w:pPr>
        <w:ind w:left="3294" w:hanging="360"/>
      </w:pPr>
      <w:rPr>
        <w:rFonts w:ascii="Wingdings" w:hAnsi="Wingdings" w:hint="default"/>
      </w:rPr>
    </w:lvl>
    <w:lvl w:ilvl="3" w:tplc="04070001" w:tentative="1">
      <w:start w:val="1"/>
      <w:numFmt w:val="bullet"/>
      <w:lvlText w:val=""/>
      <w:lvlJc w:val="left"/>
      <w:pPr>
        <w:ind w:left="4014" w:hanging="360"/>
      </w:pPr>
      <w:rPr>
        <w:rFonts w:ascii="Symbol" w:hAnsi="Symbol" w:hint="default"/>
      </w:rPr>
    </w:lvl>
    <w:lvl w:ilvl="4" w:tplc="04070003" w:tentative="1">
      <w:start w:val="1"/>
      <w:numFmt w:val="bullet"/>
      <w:lvlText w:val="o"/>
      <w:lvlJc w:val="left"/>
      <w:pPr>
        <w:ind w:left="4734" w:hanging="360"/>
      </w:pPr>
      <w:rPr>
        <w:rFonts w:ascii="Courier New" w:hAnsi="Courier New" w:cs="Courier New" w:hint="default"/>
      </w:rPr>
    </w:lvl>
    <w:lvl w:ilvl="5" w:tplc="04070005" w:tentative="1">
      <w:start w:val="1"/>
      <w:numFmt w:val="bullet"/>
      <w:lvlText w:val=""/>
      <w:lvlJc w:val="left"/>
      <w:pPr>
        <w:ind w:left="5454" w:hanging="360"/>
      </w:pPr>
      <w:rPr>
        <w:rFonts w:ascii="Wingdings" w:hAnsi="Wingdings" w:hint="default"/>
      </w:rPr>
    </w:lvl>
    <w:lvl w:ilvl="6" w:tplc="04070001" w:tentative="1">
      <w:start w:val="1"/>
      <w:numFmt w:val="bullet"/>
      <w:lvlText w:val=""/>
      <w:lvlJc w:val="left"/>
      <w:pPr>
        <w:ind w:left="6174" w:hanging="360"/>
      </w:pPr>
      <w:rPr>
        <w:rFonts w:ascii="Symbol" w:hAnsi="Symbol" w:hint="default"/>
      </w:rPr>
    </w:lvl>
    <w:lvl w:ilvl="7" w:tplc="04070003" w:tentative="1">
      <w:start w:val="1"/>
      <w:numFmt w:val="bullet"/>
      <w:lvlText w:val="o"/>
      <w:lvlJc w:val="left"/>
      <w:pPr>
        <w:ind w:left="6894" w:hanging="360"/>
      </w:pPr>
      <w:rPr>
        <w:rFonts w:ascii="Courier New" w:hAnsi="Courier New" w:cs="Courier New" w:hint="default"/>
      </w:rPr>
    </w:lvl>
    <w:lvl w:ilvl="8" w:tplc="04070005" w:tentative="1">
      <w:start w:val="1"/>
      <w:numFmt w:val="bullet"/>
      <w:lvlText w:val=""/>
      <w:lvlJc w:val="left"/>
      <w:pPr>
        <w:ind w:left="7614" w:hanging="360"/>
      </w:pPr>
      <w:rPr>
        <w:rFonts w:ascii="Wingdings" w:hAnsi="Wingdings" w:hint="default"/>
      </w:rPr>
    </w:lvl>
  </w:abstractNum>
  <w:abstractNum w:abstractNumId="14" w15:restartNumberingAfterBreak="0">
    <w:nsid w:val="2FFE717E"/>
    <w:multiLevelType w:val="hybridMultilevel"/>
    <w:tmpl w:val="9AFC25A0"/>
    <w:lvl w:ilvl="0" w:tplc="1F683346">
      <w:start w:val="1"/>
      <w:numFmt w:val="bullet"/>
      <w:lvlText w:val="◦"/>
      <w:lvlJc w:val="left"/>
      <w:pPr>
        <w:ind w:left="1004" w:hanging="360"/>
      </w:pPr>
      <w:rPr>
        <w:rFonts w:ascii="Arial" w:hAnsi="Arial" w:hint="default"/>
        <w:color w:val="auto"/>
        <w:u w:val="none"/>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5" w15:restartNumberingAfterBreak="0">
    <w:nsid w:val="35A4176C"/>
    <w:multiLevelType w:val="hybridMultilevel"/>
    <w:tmpl w:val="8B884B3A"/>
    <w:lvl w:ilvl="0" w:tplc="1BB65D16">
      <w:start w:val="1"/>
      <w:numFmt w:val="bullet"/>
      <w:lvlText w:val="-"/>
      <w:lvlJc w:val="left"/>
      <w:pPr>
        <w:ind w:left="1571" w:hanging="360"/>
      </w:pPr>
      <w:rPr>
        <w:rFonts w:ascii="Arial" w:hAnsi="Arial" w:hint="default"/>
        <w:color w:val="auto"/>
        <w:u w:val="none"/>
      </w:rPr>
    </w:lvl>
    <w:lvl w:ilvl="1" w:tplc="04070003" w:tentative="1">
      <w:start w:val="1"/>
      <w:numFmt w:val="bullet"/>
      <w:lvlText w:val="o"/>
      <w:lvlJc w:val="left"/>
      <w:pPr>
        <w:ind w:left="2291" w:hanging="360"/>
      </w:pPr>
      <w:rPr>
        <w:rFonts w:ascii="Courier New" w:hAnsi="Courier New" w:cs="Courier New" w:hint="default"/>
      </w:rPr>
    </w:lvl>
    <w:lvl w:ilvl="2" w:tplc="04070005" w:tentative="1">
      <w:start w:val="1"/>
      <w:numFmt w:val="bullet"/>
      <w:lvlText w:val=""/>
      <w:lvlJc w:val="left"/>
      <w:pPr>
        <w:ind w:left="3011" w:hanging="360"/>
      </w:pPr>
      <w:rPr>
        <w:rFonts w:ascii="Wingdings" w:hAnsi="Wingdings" w:hint="default"/>
      </w:rPr>
    </w:lvl>
    <w:lvl w:ilvl="3" w:tplc="04070001" w:tentative="1">
      <w:start w:val="1"/>
      <w:numFmt w:val="bullet"/>
      <w:lvlText w:val=""/>
      <w:lvlJc w:val="left"/>
      <w:pPr>
        <w:ind w:left="3731" w:hanging="360"/>
      </w:pPr>
      <w:rPr>
        <w:rFonts w:ascii="Symbol" w:hAnsi="Symbol" w:hint="default"/>
      </w:rPr>
    </w:lvl>
    <w:lvl w:ilvl="4" w:tplc="04070003" w:tentative="1">
      <w:start w:val="1"/>
      <w:numFmt w:val="bullet"/>
      <w:lvlText w:val="o"/>
      <w:lvlJc w:val="left"/>
      <w:pPr>
        <w:ind w:left="4451" w:hanging="360"/>
      </w:pPr>
      <w:rPr>
        <w:rFonts w:ascii="Courier New" w:hAnsi="Courier New" w:cs="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cs="Courier New" w:hint="default"/>
      </w:rPr>
    </w:lvl>
    <w:lvl w:ilvl="8" w:tplc="04070005" w:tentative="1">
      <w:start w:val="1"/>
      <w:numFmt w:val="bullet"/>
      <w:lvlText w:val=""/>
      <w:lvlJc w:val="left"/>
      <w:pPr>
        <w:ind w:left="7331" w:hanging="360"/>
      </w:pPr>
      <w:rPr>
        <w:rFonts w:ascii="Wingdings" w:hAnsi="Wingdings" w:hint="default"/>
      </w:rPr>
    </w:lvl>
  </w:abstractNum>
  <w:abstractNum w:abstractNumId="16" w15:restartNumberingAfterBreak="0">
    <w:nsid w:val="46211584"/>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B2455DE"/>
    <w:multiLevelType w:val="hybridMultilevel"/>
    <w:tmpl w:val="AD3EBCB8"/>
    <w:lvl w:ilvl="0" w:tplc="E43C52DE">
      <w:numFmt w:val="bullet"/>
      <w:lvlText w:val="▪"/>
      <w:lvlJc w:val="left"/>
      <w:pPr>
        <w:ind w:left="1003" w:hanging="360"/>
      </w:pPr>
      <w:rPr>
        <w:rFonts w:ascii="Arial" w:eastAsiaTheme="minorEastAsia" w:hAnsi="Aria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18" w15:restartNumberingAfterBreak="0">
    <w:nsid w:val="51FC03FB"/>
    <w:multiLevelType w:val="hybridMultilevel"/>
    <w:tmpl w:val="C7A0FB60"/>
    <w:lvl w:ilvl="0" w:tplc="9C36674E">
      <w:numFmt w:val="bullet"/>
      <w:lvlText w:val="▫"/>
      <w:lvlJc w:val="left"/>
      <w:pPr>
        <w:ind w:left="1854" w:hanging="360"/>
      </w:pPr>
      <w:rPr>
        <w:rFonts w:ascii="Arial" w:eastAsiaTheme="minorEastAsia" w:hAnsi="Arial" w:hint="default"/>
      </w:rPr>
    </w:lvl>
    <w:lvl w:ilvl="1" w:tplc="04070003" w:tentative="1">
      <w:start w:val="1"/>
      <w:numFmt w:val="bullet"/>
      <w:lvlText w:val="o"/>
      <w:lvlJc w:val="left"/>
      <w:pPr>
        <w:ind w:left="2574" w:hanging="360"/>
      </w:pPr>
      <w:rPr>
        <w:rFonts w:ascii="Courier New" w:hAnsi="Courier New" w:cs="Courier New" w:hint="default"/>
      </w:rPr>
    </w:lvl>
    <w:lvl w:ilvl="2" w:tplc="04070005" w:tentative="1">
      <w:start w:val="1"/>
      <w:numFmt w:val="bullet"/>
      <w:lvlText w:val=""/>
      <w:lvlJc w:val="left"/>
      <w:pPr>
        <w:ind w:left="3294" w:hanging="360"/>
      </w:pPr>
      <w:rPr>
        <w:rFonts w:ascii="Wingdings" w:hAnsi="Wingdings" w:hint="default"/>
      </w:rPr>
    </w:lvl>
    <w:lvl w:ilvl="3" w:tplc="04070001" w:tentative="1">
      <w:start w:val="1"/>
      <w:numFmt w:val="bullet"/>
      <w:lvlText w:val=""/>
      <w:lvlJc w:val="left"/>
      <w:pPr>
        <w:ind w:left="4014" w:hanging="360"/>
      </w:pPr>
      <w:rPr>
        <w:rFonts w:ascii="Symbol" w:hAnsi="Symbol" w:hint="default"/>
      </w:rPr>
    </w:lvl>
    <w:lvl w:ilvl="4" w:tplc="04070003" w:tentative="1">
      <w:start w:val="1"/>
      <w:numFmt w:val="bullet"/>
      <w:lvlText w:val="o"/>
      <w:lvlJc w:val="left"/>
      <w:pPr>
        <w:ind w:left="4734" w:hanging="360"/>
      </w:pPr>
      <w:rPr>
        <w:rFonts w:ascii="Courier New" w:hAnsi="Courier New" w:cs="Courier New" w:hint="default"/>
      </w:rPr>
    </w:lvl>
    <w:lvl w:ilvl="5" w:tplc="04070005" w:tentative="1">
      <w:start w:val="1"/>
      <w:numFmt w:val="bullet"/>
      <w:lvlText w:val=""/>
      <w:lvlJc w:val="left"/>
      <w:pPr>
        <w:ind w:left="5454" w:hanging="360"/>
      </w:pPr>
      <w:rPr>
        <w:rFonts w:ascii="Wingdings" w:hAnsi="Wingdings" w:hint="default"/>
      </w:rPr>
    </w:lvl>
    <w:lvl w:ilvl="6" w:tplc="04070001" w:tentative="1">
      <w:start w:val="1"/>
      <w:numFmt w:val="bullet"/>
      <w:lvlText w:val=""/>
      <w:lvlJc w:val="left"/>
      <w:pPr>
        <w:ind w:left="6174" w:hanging="360"/>
      </w:pPr>
      <w:rPr>
        <w:rFonts w:ascii="Symbol" w:hAnsi="Symbol" w:hint="default"/>
      </w:rPr>
    </w:lvl>
    <w:lvl w:ilvl="7" w:tplc="04070003" w:tentative="1">
      <w:start w:val="1"/>
      <w:numFmt w:val="bullet"/>
      <w:lvlText w:val="o"/>
      <w:lvlJc w:val="left"/>
      <w:pPr>
        <w:ind w:left="6894" w:hanging="360"/>
      </w:pPr>
      <w:rPr>
        <w:rFonts w:ascii="Courier New" w:hAnsi="Courier New" w:cs="Courier New" w:hint="default"/>
      </w:rPr>
    </w:lvl>
    <w:lvl w:ilvl="8" w:tplc="04070005" w:tentative="1">
      <w:start w:val="1"/>
      <w:numFmt w:val="bullet"/>
      <w:lvlText w:val=""/>
      <w:lvlJc w:val="left"/>
      <w:pPr>
        <w:ind w:left="7614" w:hanging="360"/>
      </w:pPr>
      <w:rPr>
        <w:rFonts w:ascii="Wingdings" w:hAnsi="Wingdings" w:hint="default"/>
      </w:rPr>
    </w:lvl>
  </w:abstractNum>
  <w:abstractNum w:abstractNumId="19" w15:restartNumberingAfterBreak="0">
    <w:nsid w:val="59043B2A"/>
    <w:multiLevelType w:val="hybridMultilevel"/>
    <w:tmpl w:val="D0E8EDF4"/>
    <w:lvl w:ilvl="0" w:tplc="3A2026FC">
      <w:numFmt w:val="bullet"/>
      <w:lvlText w:val="–"/>
      <w:lvlJc w:val="left"/>
      <w:pPr>
        <w:ind w:left="1854" w:hanging="360"/>
      </w:pPr>
      <w:rPr>
        <w:rFonts w:ascii="OfficinaSans Book" w:eastAsiaTheme="minorEastAsia" w:hAnsi="OfficinaSans Book" w:cs="Times New Roman" w:hint="default"/>
      </w:rPr>
    </w:lvl>
    <w:lvl w:ilvl="1" w:tplc="04070003" w:tentative="1">
      <w:start w:val="1"/>
      <w:numFmt w:val="bullet"/>
      <w:lvlText w:val="o"/>
      <w:lvlJc w:val="left"/>
      <w:pPr>
        <w:ind w:left="2574" w:hanging="360"/>
      </w:pPr>
      <w:rPr>
        <w:rFonts w:ascii="Courier New" w:hAnsi="Courier New" w:cs="Courier New" w:hint="default"/>
      </w:rPr>
    </w:lvl>
    <w:lvl w:ilvl="2" w:tplc="04070005" w:tentative="1">
      <w:start w:val="1"/>
      <w:numFmt w:val="bullet"/>
      <w:lvlText w:val=""/>
      <w:lvlJc w:val="left"/>
      <w:pPr>
        <w:ind w:left="3294" w:hanging="360"/>
      </w:pPr>
      <w:rPr>
        <w:rFonts w:ascii="Wingdings" w:hAnsi="Wingdings" w:hint="default"/>
      </w:rPr>
    </w:lvl>
    <w:lvl w:ilvl="3" w:tplc="04070001" w:tentative="1">
      <w:start w:val="1"/>
      <w:numFmt w:val="bullet"/>
      <w:lvlText w:val=""/>
      <w:lvlJc w:val="left"/>
      <w:pPr>
        <w:ind w:left="4014" w:hanging="360"/>
      </w:pPr>
      <w:rPr>
        <w:rFonts w:ascii="Symbol" w:hAnsi="Symbol" w:hint="default"/>
      </w:rPr>
    </w:lvl>
    <w:lvl w:ilvl="4" w:tplc="04070003" w:tentative="1">
      <w:start w:val="1"/>
      <w:numFmt w:val="bullet"/>
      <w:lvlText w:val="o"/>
      <w:lvlJc w:val="left"/>
      <w:pPr>
        <w:ind w:left="4734" w:hanging="360"/>
      </w:pPr>
      <w:rPr>
        <w:rFonts w:ascii="Courier New" w:hAnsi="Courier New" w:cs="Courier New" w:hint="default"/>
      </w:rPr>
    </w:lvl>
    <w:lvl w:ilvl="5" w:tplc="04070005" w:tentative="1">
      <w:start w:val="1"/>
      <w:numFmt w:val="bullet"/>
      <w:lvlText w:val=""/>
      <w:lvlJc w:val="left"/>
      <w:pPr>
        <w:ind w:left="5454" w:hanging="360"/>
      </w:pPr>
      <w:rPr>
        <w:rFonts w:ascii="Wingdings" w:hAnsi="Wingdings" w:hint="default"/>
      </w:rPr>
    </w:lvl>
    <w:lvl w:ilvl="6" w:tplc="04070001" w:tentative="1">
      <w:start w:val="1"/>
      <w:numFmt w:val="bullet"/>
      <w:lvlText w:val=""/>
      <w:lvlJc w:val="left"/>
      <w:pPr>
        <w:ind w:left="6174" w:hanging="360"/>
      </w:pPr>
      <w:rPr>
        <w:rFonts w:ascii="Symbol" w:hAnsi="Symbol" w:hint="default"/>
      </w:rPr>
    </w:lvl>
    <w:lvl w:ilvl="7" w:tplc="04070003" w:tentative="1">
      <w:start w:val="1"/>
      <w:numFmt w:val="bullet"/>
      <w:lvlText w:val="o"/>
      <w:lvlJc w:val="left"/>
      <w:pPr>
        <w:ind w:left="6894" w:hanging="360"/>
      </w:pPr>
      <w:rPr>
        <w:rFonts w:ascii="Courier New" w:hAnsi="Courier New" w:cs="Courier New" w:hint="default"/>
      </w:rPr>
    </w:lvl>
    <w:lvl w:ilvl="8" w:tplc="04070005" w:tentative="1">
      <w:start w:val="1"/>
      <w:numFmt w:val="bullet"/>
      <w:lvlText w:val=""/>
      <w:lvlJc w:val="left"/>
      <w:pPr>
        <w:ind w:left="7614" w:hanging="360"/>
      </w:pPr>
      <w:rPr>
        <w:rFonts w:ascii="Wingdings" w:hAnsi="Wingdings" w:hint="default"/>
      </w:rPr>
    </w:lvl>
  </w:abstractNum>
  <w:abstractNum w:abstractNumId="20" w15:restartNumberingAfterBreak="0">
    <w:nsid w:val="6168158B"/>
    <w:multiLevelType w:val="hybridMultilevel"/>
    <w:tmpl w:val="E2044DD6"/>
    <w:lvl w:ilvl="0" w:tplc="01B26186">
      <w:start w:val="1"/>
      <w:numFmt w:val="decimal"/>
      <w:pStyle w:val="Literaturverzeichnis"/>
      <w:lvlText w:val="%1."/>
      <w:lvlJc w:val="left"/>
      <w:pPr>
        <w:ind w:left="284" w:hanging="284"/>
      </w:pPr>
    </w:lvl>
    <w:lvl w:ilvl="1" w:tplc="04070019" w:tentative="1">
      <w:start w:val="1"/>
      <w:numFmt w:val="lowerLetter"/>
      <w:lvlText w:val="%2."/>
      <w:lvlJc w:val="left"/>
      <w:pPr>
        <w:ind w:left="360" w:hanging="360"/>
      </w:pPr>
    </w:lvl>
    <w:lvl w:ilvl="2" w:tplc="0407001B" w:tentative="1">
      <w:start w:val="1"/>
      <w:numFmt w:val="lowerRoman"/>
      <w:lvlText w:val="%3."/>
      <w:lvlJc w:val="right"/>
      <w:pPr>
        <w:ind w:left="720" w:hanging="360"/>
      </w:pPr>
    </w:lvl>
    <w:lvl w:ilvl="3" w:tplc="0407000F" w:tentative="1">
      <w:start w:val="1"/>
      <w:numFmt w:val="decimal"/>
      <w:lvlText w:val="%4."/>
      <w:lvlJc w:val="left"/>
      <w:pPr>
        <w:ind w:left="1080" w:hanging="360"/>
      </w:pPr>
    </w:lvl>
    <w:lvl w:ilvl="4" w:tplc="04070019" w:tentative="1">
      <w:start w:val="1"/>
      <w:numFmt w:val="lowerLetter"/>
      <w:lvlText w:val="%5."/>
      <w:lvlJc w:val="left"/>
      <w:pPr>
        <w:ind w:left="1440" w:hanging="360"/>
      </w:pPr>
    </w:lvl>
    <w:lvl w:ilvl="5" w:tplc="0407001B" w:tentative="1">
      <w:start w:val="1"/>
      <w:numFmt w:val="lowerRoman"/>
      <w:lvlText w:val="%6."/>
      <w:lvlJc w:val="right"/>
      <w:pPr>
        <w:ind w:left="1800" w:hanging="360"/>
      </w:pPr>
    </w:lvl>
    <w:lvl w:ilvl="6" w:tplc="0407000F" w:tentative="1">
      <w:start w:val="1"/>
      <w:numFmt w:val="decimal"/>
      <w:lvlText w:val="%7."/>
      <w:lvlJc w:val="left"/>
      <w:pPr>
        <w:ind w:left="2160" w:hanging="360"/>
      </w:pPr>
    </w:lvl>
    <w:lvl w:ilvl="7" w:tplc="04070019" w:tentative="1">
      <w:start w:val="1"/>
      <w:numFmt w:val="lowerLetter"/>
      <w:lvlText w:val="%8."/>
      <w:lvlJc w:val="left"/>
      <w:pPr>
        <w:ind w:left="2520" w:hanging="360"/>
      </w:pPr>
    </w:lvl>
    <w:lvl w:ilvl="8" w:tplc="0407001B" w:tentative="1">
      <w:start w:val="1"/>
      <w:numFmt w:val="lowerRoman"/>
      <w:lvlText w:val="%9."/>
      <w:lvlJc w:val="right"/>
      <w:pPr>
        <w:ind w:left="2880" w:hanging="180"/>
      </w:pPr>
    </w:lvl>
  </w:abstractNum>
  <w:abstractNum w:abstractNumId="21" w15:restartNumberingAfterBreak="0">
    <w:nsid w:val="6C1F2B84"/>
    <w:multiLevelType w:val="multilevel"/>
    <w:tmpl w:val="356A89A2"/>
    <w:lvl w:ilvl="0">
      <w:start w:val="1"/>
      <w:numFmt w:val="decimal"/>
      <w:pStyle w:val="berschrift1"/>
      <w:lvlText w:val="%1."/>
      <w:lvlJc w:val="left"/>
      <w:pPr>
        <w:ind w:left="1134" w:hanging="1134"/>
      </w:pPr>
      <w:rPr>
        <w:rFonts w:hint="default"/>
      </w:rPr>
    </w:lvl>
    <w:lvl w:ilvl="1">
      <w:start w:val="1"/>
      <w:numFmt w:val="decimal"/>
      <w:pStyle w:val="berschrift2"/>
      <w:lvlText w:val="%1.%2"/>
      <w:lvlJc w:val="left"/>
      <w:pPr>
        <w:ind w:left="1134" w:hanging="1134"/>
      </w:pPr>
      <w:rPr>
        <w:rFonts w:hint="default"/>
      </w:rPr>
    </w:lvl>
    <w:lvl w:ilvl="2">
      <w:start w:val="1"/>
      <w:numFmt w:val="decimal"/>
      <w:pStyle w:val="berschrift3"/>
      <w:lvlText w:val="%1.%2.%3"/>
      <w:lvlJc w:val="left"/>
      <w:pPr>
        <w:ind w:left="1134" w:hanging="1134"/>
      </w:pPr>
      <w:rPr>
        <w:rFonts w:hint="default"/>
      </w:rPr>
    </w:lvl>
    <w:lvl w:ilvl="3">
      <w:start w:val="1"/>
      <w:numFmt w:val="decimal"/>
      <w:pStyle w:val="berschrift4"/>
      <w:lvlText w:val="%1.%2.%3.%4"/>
      <w:lvlJc w:val="left"/>
      <w:pPr>
        <w:ind w:left="1134" w:hanging="1134"/>
      </w:pPr>
      <w:rPr>
        <w:rFonts w:hint="default"/>
      </w:rPr>
    </w:lvl>
    <w:lvl w:ilvl="4">
      <w:start w:val="1"/>
      <w:numFmt w:val="decimal"/>
      <w:pStyle w:val="berschrift5"/>
      <w:lvlText w:val="%1.%2.%3.%4.%5"/>
      <w:lvlJc w:val="left"/>
      <w:pPr>
        <w:ind w:left="1134" w:hanging="1134"/>
      </w:pPr>
      <w:rPr>
        <w:rFonts w:hint="default"/>
      </w:rPr>
    </w:lvl>
    <w:lvl w:ilvl="5">
      <w:start w:val="1"/>
      <w:numFmt w:val="decimal"/>
      <w:pStyle w:val="berschrift6"/>
      <w:lvlText w:val="%1.%2.%3.%4.%5.%6"/>
      <w:lvlJc w:val="left"/>
      <w:pPr>
        <w:ind w:left="1134" w:hanging="1134"/>
      </w:pPr>
      <w:rPr>
        <w:rFonts w:hint="default"/>
      </w:rPr>
    </w:lvl>
    <w:lvl w:ilvl="6">
      <w:start w:val="1"/>
      <w:numFmt w:val="decimal"/>
      <w:pStyle w:val="berschrift7"/>
      <w:lvlText w:val="%1.%2.%3.%4.%5.%6.%7"/>
      <w:lvlJc w:val="left"/>
      <w:pPr>
        <w:ind w:left="1134" w:hanging="1134"/>
      </w:pPr>
      <w:rPr>
        <w:rFonts w:hint="default"/>
      </w:rPr>
    </w:lvl>
    <w:lvl w:ilvl="7">
      <w:start w:val="1"/>
      <w:numFmt w:val="decimal"/>
      <w:pStyle w:val="berschrift8"/>
      <w:lvlText w:val="%1.%2.%3.%4.%5.%6.%7.%8"/>
      <w:lvlJc w:val="left"/>
      <w:pPr>
        <w:ind w:left="1134" w:hanging="1134"/>
      </w:pPr>
      <w:rPr>
        <w:rFonts w:hint="default"/>
      </w:rPr>
    </w:lvl>
    <w:lvl w:ilvl="8">
      <w:start w:val="1"/>
      <w:numFmt w:val="decimal"/>
      <w:pStyle w:val="berschrift9"/>
      <w:lvlText w:val="%1.%2.%3.%4.%5.%6.%7.%8.%9"/>
      <w:lvlJc w:val="left"/>
      <w:pPr>
        <w:ind w:left="1134" w:hanging="1134"/>
      </w:pPr>
      <w:rPr>
        <w:rFonts w:hint="default"/>
      </w:rPr>
    </w:lvl>
  </w:abstractNum>
  <w:abstractNum w:abstractNumId="22" w15:restartNumberingAfterBreak="0">
    <w:nsid w:val="77596466"/>
    <w:multiLevelType w:val="hybridMultilevel"/>
    <w:tmpl w:val="CEEAA048"/>
    <w:lvl w:ilvl="0" w:tplc="3A2026FC">
      <w:numFmt w:val="bullet"/>
      <w:lvlText w:val="–"/>
      <w:lvlJc w:val="left"/>
      <w:pPr>
        <w:ind w:left="1854" w:hanging="360"/>
      </w:pPr>
      <w:rPr>
        <w:rFonts w:ascii="OfficinaSans Book" w:eastAsiaTheme="minorEastAsia" w:hAnsi="OfficinaSans Book" w:cs="Times New Roman" w:hint="default"/>
      </w:rPr>
    </w:lvl>
    <w:lvl w:ilvl="1" w:tplc="04070003" w:tentative="1">
      <w:start w:val="1"/>
      <w:numFmt w:val="bullet"/>
      <w:lvlText w:val="o"/>
      <w:lvlJc w:val="left"/>
      <w:pPr>
        <w:ind w:left="2574" w:hanging="360"/>
      </w:pPr>
      <w:rPr>
        <w:rFonts w:ascii="Courier New" w:hAnsi="Courier New" w:cs="Courier New" w:hint="default"/>
      </w:rPr>
    </w:lvl>
    <w:lvl w:ilvl="2" w:tplc="04070005" w:tentative="1">
      <w:start w:val="1"/>
      <w:numFmt w:val="bullet"/>
      <w:lvlText w:val=""/>
      <w:lvlJc w:val="left"/>
      <w:pPr>
        <w:ind w:left="3294" w:hanging="360"/>
      </w:pPr>
      <w:rPr>
        <w:rFonts w:ascii="Wingdings" w:hAnsi="Wingdings" w:hint="default"/>
      </w:rPr>
    </w:lvl>
    <w:lvl w:ilvl="3" w:tplc="04070001" w:tentative="1">
      <w:start w:val="1"/>
      <w:numFmt w:val="bullet"/>
      <w:lvlText w:val=""/>
      <w:lvlJc w:val="left"/>
      <w:pPr>
        <w:ind w:left="4014" w:hanging="360"/>
      </w:pPr>
      <w:rPr>
        <w:rFonts w:ascii="Symbol" w:hAnsi="Symbol" w:hint="default"/>
      </w:rPr>
    </w:lvl>
    <w:lvl w:ilvl="4" w:tplc="04070003" w:tentative="1">
      <w:start w:val="1"/>
      <w:numFmt w:val="bullet"/>
      <w:lvlText w:val="o"/>
      <w:lvlJc w:val="left"/>
      <w:pPr>
        <w:ind w:left="4734" w:hanging="360"/>
      </w:pPr>
      <w:rPr>
        <w:rFonts w:ascii="Courier New" w:hAnsi="Courier New" w:cs="Courier New" w:hint="default"/>
      </w:rPr>
    </w:lvl>
    <w:lvl w:ilvl="5" w:tplc="04070005" w:tentative="1">
      <w:start w:val="1"/>
      <w:numFmt w:val="bullet"/>
      <w:lvlText w:val=""/>
      <w:lvlJc w:val="left"/>
      <w:pPr>
        <w:ind w:left="5454" w:hanging="360"/>
      </w:pPr>
      <w:rPr>
        <w:rFonts w:ascii="Wingdings" w:hAnsi="Wingdings" w:hint="default"/>
      </w:rPr>
    </w:lvl>
    <w:lvl w:ilvl="6" w:tplc="04070001" w:tentative="1">
      <w:start w:val="1"/>
      <w:numFmt w:val="bullet"/>
      <w:lvlText w:val=""/>
      <w:lvlJc w:val="left"/>
      <w:pPr>
        <w:ind w:left="6174" w:hanging="360"/>
      </w:pPr>
      <w:rPr>
        <w:rFonts w:ascii="Symbol" w:hAnsi="Symbol" w:hint="default"/>
      </w:rPr>
    </w:lvl>
    <w:lvl w:ilvl="7" w:tplc="04070003" w:tentative="1">
      <w:start w:val="1"/>
      <w:numFmt w:val="bullet"/>
      <w:lvlText w:val="o"/>
      <w:lvlJc w:val="left"/>
      <w:pPr>
        <w:ind w:left="6894" w:hanging="360"/>
      </w:pPr>
      <w:rPr>
        <w:rFonts w:ascii="Courier New" w:hAnsi="Courier New" w:cs="Courier New" w:hint="default"/>
      </w:rPr>
    </w:lvl>
    <w:lvl w:ilvl="8" w:tplc="04070005" w:tentative="1">
      <w:start w:val="1"/>
      <w:numFmt w:val="bullet"/>
      <w:lvlText w:val=""/>
      <w:lvlJc w:val="left"/>
      <w:pPr>
        <w:ind w:left="7614" w:hanging="360"/>
      </w:pPr>
      <w:rPr>
        <w:rFonts w:ascii="Wingdings" w:hAnsi="Wingdings" w:hint="default"/>
      </w:rPr>
    </w:lvl>
  </w:abstractNum>
  <w:abstractNum w:abstractNumId="23" w15:restartNumberingAfterBreak="0">
    <w:nsid w:val="78D85848"/>
    <w:multiLevelType w:val="multilevel"/>
    <w:tmpl w:val="C8E81DD0"/>
    <w:lvl w:ilvl="0">
      <w:start w:val="1"/>
      <w:numFmt w:val="bullet"/>
      <w:pStyle w:val="Liste1"/>
      <w:lvlText w:val="•"/>
      <w:lvlJc w:val="left"/>
      <w:pPr>
        <w:ind w:left="284" w:hanging="284"/>
      </w:pPr>
      <w:rPr>
        <w:rFonts w:ascii="Arial" w:hAnsi="Arial" w:hint="default"/>
        <w:color w:val="auto"/>
        <w:u w:val="none"/>
      </w:rPr>
    </w:lvl>
    <w:lvl w:ilvl="1">
      <w:start w:val="1"/>
      <w:numFmt w:val="bullet"/>
      <w:pStyle w:val="Liste2"/>
      <w:lvlText w:val="•"/>
      <w:lvlJc w:val="left"/>
      <w:pPr>
        <w:ind w:left="568" w:hanging="284"/>
      </w:pPr>
      <w:rPr>
        <w:rFonts w:ascii="Arial" w:hAnsi="Arial" w:hint="default"/>
        <w:color w:val="auto"/>
        <w:u w:val="none"/>
      </w:rPr>
    </w:lvl>
    <w:lvl w:ilvl="2">
      <w:start w:val="1"/>
      <w:numFmt w:val="bullet"/>
      <w:pStyle w:val="Liste3"/>
      <w:lvlText w:val="•"/>
      <w:lvlJc w:val="left"/>
      <w:pPr>
        <w:ind w:left="851" w:hanging="284"/>
      </w:pPr>
      <w:rPr>
        <w:rFonts w:ascii="Arial" w:hAnsi="Arial" w:hint="default"/>
        <w:color w:val="auto"/>
        <w:u w:val="none"/>
      </w:rPr>
    </w:lvl>
    <w:lvl w:ilvl="3">
      <w:start w:val="1"/>
      <w:numFmt w:val="bullet"/>
      <w:pStyle w:val="Liste4"/>
      <w:lvlText w:val="•"/>
      <w:lvlJc w:val="left"/>
      <w:pPr>
        <w:ind w:left="1135" w:hanging="284"/>
      </w:pPr>
      <w:rPr>
        <w:rFonts w:ascii="Arial" w:hAnsi="Arial" w:hint="default"/>
        <w:color w:val="auto"/>
        <w:u w:val="none"/>
      </w:rPr>
    </w:lvl>
    <w:lvl w:ilvl="4">
      <w:start w:val="1"/>
      <w:numFmt w:val="bullet"/>
      <w:pStyle w:val="Liste5"/>
      <w:lvlText w:val="•"/>
      <w:lvlJc w:val="left"/>
      <w:pPr>
        <w:ind w:left="1418" w:hanging="284"/>
      </w:pPr>
      <w:rPr>
        <w:rFonts w:ascii="Arial" w:hAnsi="Arial" w:hint="default"/>
        <w:color w:val="auto"/>
        <w:u w:val="none"/>
      </w:rPr>
    </w:lvl>
    <w:lvl w:ilvl="5">
      <w:start w:val="1"/>
      <w:numFmt w:val="bullet"/>
      <w:lvlText w:val="•"/>
      <w:lvlJc w:val="left"/>
      <w:pPr>
        <w:ind w:left="5454" w:hanging="360"/>
      </w:pPr>
      <w:rPr>
        <w:rFonts w:ascii="Arial" w:hAnsi="Arial" w:hint="default"/>
        <w:color w:val="auto"/>
        <w:u w:val="none"/>
      </w:rPr>
    </w:lvl>
    <w:lvl w:ilvl="6">
      <w:start w:val="1"/>
      <w:numFmt w:val="bullet"/>
      <w:lvlText w:val="o"/>
      <w:lvlJc w:val="left"/>
      <w:pPr>
        <w:ind w:left="6174" w:hanging="360"/>
      </w:pPr>
      <w:rPr>
        <w:rFonts w:ascii="Courier New" w:hAnsi="Courier New" w:cs="Courier New"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num w:numId="1">
    <w:abstractNumId w:val="19"/>
  </w:num>
  <w:num w:numId="2">
    <w:abstractNumId w:val="13"/>
  </w:num>
  <w:num w:numId="3">
    <w:abstractNumId w:val="22"/>
  </w:num>
  <w:num w:numId="4">
    <w:abstractNumId w:val="12"/>
  </w:num>
  <w:num w:numId="5">
    <w:abstractNumId w:val="23"/>
  </w:num>
  <w:num w:numId="6">
    <w:abstractNumId w:val="1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0"/>
  </w:num>
  <w:num w:numId="20">
    <w:abstractNumId w:val="11"/>
  </w:num>
  <w:num w:numId="21">
    <w:abstractNumId w:val="16"/>
  </w:num>
  <w:num w:numId="22">
    <w:abstractNumId w:val="21"/>
  </w:num>
  <w:num w:numId="23">
    <w:abstractNumId w:val="15"/>
  </w:num>
  <w:num w:numId="24">
    <w:abstractNumId w:val="18"/>
  </w:num>
  <w:num w:numId="25">
    <w:abstractNumId w:val="14"/>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3"/>
    <w:lvlOverride w:ilvl="0">
      <w:startOverride w:val="1"/>
    </w:lvlOverride>
  </w:num>
  <w:num w:numId="44">
    <w:abstractNumId w:val="23"/>
    <w:lvlOverride w:ilvl="0">
      <w:startOverride w:val="1"/>
    </w:lvlOverride>
  </w:num>
  <w:num w:numId="45">
    <w:abstractNumId w:val="23"/>
    <w:lvlOverride w:ilvl="0">
      <w:startOverride w:val="1"/>
    </w:lvlOverride>
  </w:num>
  <w:num w:numId="46">
    <w:abstractNumId w:val="23"/>
    <w:lvlOverride w:ilvl="0">
      <w:startOverride w:val="1"/>
    </w:lvlOverride>
  </w:num>
  <w:num w:numId="47">
    <w:abstractNumId w:val="23"/>
    <w:lvlOverride w:ilvl="0">
      <w:startOverride w:val="1"/>
    </w:lvlOverride>
  </w:num>
  <w:num w:numId="48">
    <w:abstractNumId w:val="23"/>
    <w:lvlOverride w:ilvl="0">
      <w:startOverride w:val="1"/>
    </w:lvlOverride>
  </w:num>
  <w:num w:numId="49">
    <w:abstractNumId w:val="23"/>
    <w:lvlOverride w:ilvl="0">
      <w:startOverride w:val="1"/>
    </w:lvlOverride>
  </w:num>
  <w:num w:numId="50">
    <w:abstractNumId w:val="23"/>
    <w:lvlOverride w:ilvl="0">
      <w:startOverride w:val="1"/>
    </w:lvlOverride>
  </w:num>
  <w:num w:numId="51">
    <w:abstractNumId w:val="23"/>
    <w:lvlOverride w:ilvl="0">
      <w:startOverride w:val="1"/>
    </w:lvlOverride>
  </w:num>
  <w:num w:numId="52">
    <w:abstractNumId w:val="23"/>
    <w:lvlOverride w:ilvl="0">
      <w:startOverride w:val="1"/>
    </w:lvlOverride>
  </w:num>
  <w:num w:numId="53">
    <w:abstractNumId w:val="23"/>
    <w:lvlOverride w:ilvl="0">
      <w:startOverride w:val="1"/>
    </w:lvlOverride>
  </w:num>
  <w:num w:numId="54">
    <w:abstractNumId w:val="23"/>
    <w:lvlOverride w:ilvl="0">
      <w:startOverride w:val="1"/>
    </w:lvlOverride>
  </w:num>
  <w:num w:numId="55">
    <w:abstractNumId w:val="23"/>
    <w:lvlOverride w:ilvl="0">
      <w:startOverride w:val="1"/>
    </w:lvlOverride>
  </w:num>
  <w:num w:numId="56">
    <w:abstractNumId w:val="23"/>
    <w:lvlOverride w:ilvl="0">
      <w:startOverride w:val="1"/>
    </w:lvlOverride>
  </w:num>
  <w:num w:numId="57">
    <w:abstractNumId w:val="23"/>
    <w:lvlOverride w:ilvl="0">
      <w:startOverride w:val="1"/>
    </w:lvlOverride>
  </w:num>
  <w:num w:numId="58">
    <w:abstractNumId w:val="23"/>
    <w:lvlOverride w:ilvl="0">
      <w:startOverride w:val="1"/>
    </w:lvlOverride>
  </w:num>
  <w:num w:numId="59">
    <w:abstractNumId w:val="23"/>
    <w:lvlOverride w:ilvl="0">
      <w:startOverride w:val="1"/>
    </w:lvlOverride>
  </w:num>
  <w:num w:numId="60">
    <w:abstractNumId w:val="23"/>
    <w:lvlOverride w:ilvl="0">
      <w:startOverride w:val="1"/>
    </w:lvlOverride>
  </w:num>
  <w:num w:numId="61">
    <w:abstractNumId w:val="2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8"/>
  <w:hyphenationZone w:val="425"/>
  <w:characterSpacingControl w:val="doNotCompress"/>
  <w:hdrShapeDefaults>
    <o:shapedefaults v:ext="edit" spidmax="2056">
      <o:colormru v:ext="edit" colors="#ffc"/>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778AD"/>
    <w:rsid w:val="00012F1A"/>
    <w:rsid w:val="00031D9A"/>
    <w:rsid w:val="00050EDB"/>
    <w:rsid w:val="00083803"/>
    <w:rsid w:val="00097450"/>
    <w:rsid w:val="000A738A"/>
    <w:rsid w:val="000E1AE0"/>
    <w:rsid w:val="000F39B7"/>
    <w:rsid w:val="00102CD8"/>
    <w:rsid w:val="00114662"/>
    <w:rsid w:val="0012445E"/>
    <w:rsid w:val="00147220"/>
    <w:rsid w:val="00155D97"/>
    <w:rsid w:val="00163646"/>
    <w:rsid w:val="00180E25"/>
    <w:rsid w:val="00187EBC"/>
    <w:rsid w:val="001900D1"/>
    <w:rsid w:val="001C303D"/>
    <w:rsid w:val="001D47A5"/>
    <w:rsid w:val="001F17D1"/>
    <w:rsid w:val="00213871"/>
    <w:rsid w:val="00214BA4"/>
    <w:rsid w:val="00244857"/>
    <w:rsid w:val="00246C90"/>
    <w:rsid w:val="00247236"/>
    <w:rsid w:val="00266CB3"/>
    <w:rsid w:val="00272F88"/>
    <w:rsid w:val="00273545"/>
    <w:rsid w:val="002A730E"/>
    <w:rsid w:val="002C3462"/>
    <w:rsid w:val="002D10E3"/>
    <w:rsid w:val="002E0689"/>
    <w:rsid w:val="002E5A90"/>
    <w:rsid w:val="00305666"/>
    <w:rsid w:val="00337970"/>
    <w:rsid w:val="00343B6F"/>
    <w:rsid w:val="00345865"/>
    <w:rsid w:val="00357AA0"/>
    <w:rsid w:val="00357FC1"/>
    <w:rsid w:val="00377C3F"/>
    <w:rsid w:val="003A024A"/>
    <w:rsid w:val="003F1495"/>
    <w:rsid w:val="003F336B"/>
    <w:rsid w:val="004345D1"/>
    <w:rsid w:val="00437982"/>
    <w:rsid w:val="00447F33"/>
    <w:rsid w:val="00480D85"/>
    <w:rsid w:val="00484826"/>
    <w:rsid w:val="004D5DF8"/>
    <w:rsid w:val="004E798D"/>
    <w:rsid w:val="004F23AB"/>
    <w:rsid w:val="004F2E3D"/>
    <w:rsid w:val="00522E3C"/>
    <w:rsid w:val="00536018"/>
    <w:rsid w:val="00591C16"/>
    <w:rsid w:val="005A591E"/>
    <w:rsid w:val="005B6B8B"/>
    <w:rsid w:val="005C3C88"/>
    <w:rsid w:val="00602849"/>
    <w:rsid w:val="00602850"/>
    <w:rsid w:val="00602851"/>
    <w:rsid w:val="006061E5"/>
    <w:rsid w:val="00610813"/>
    <w:rsid w:val="006372F5"/>
    <w:rsid w:val="00637CC9"/>
    <w:rsid w:val="00645E80"/>
    <w:rsid w:val="006547A8"/>
    <w:rsid w:val="006778AD"/>
    <w:rsid w:val="0071151D"/>
    <w:rsid w:val="00713E81"/>
    <w:rsid w:val="00721064"/>
    <w:rsid w:val="00735691"/>
    <w:rsid w:val="007541DE"/>
    <w:rsid w:val="00766736"/>
    <w:rsid w:val="00766A3A"/>
    <w:rsid w:val="007677CE"/>
    <w:rsid w:val="0078483F"/>
    <w:rsid w:val="0079542D"/>
    <w:rsid w:val="00795478"/>
    <w:rsid w:val="007A3900"/>
    <w:rsid w:val="007B6DCF"/>
    <w:rsid w:val="007C3571"/>
    <w:rsid w:val="007F0B97"/>
    <w:rsid w:val="008104CC"/>
    <w:rsid w:val="00810EAF"/>
    <w:rsid w:val="00854032"/>
    <w:rsid w:val="00856B86"/>
    <w:rsid w:val="0086320B"/>
    <w:rsid w:val="008660E0"/>
    <w:rsid w:val="0088061D"/>
    <w:rsid w:val="008851B3"/>
    <w:rsid w:val="008C0BA7"/>
    <w:rsid w:val="008E17AA"/>
    <w:rsid w:val="008F0037"/>
    <w:rsid w:val="00913A5D"/>
    <w:rsid w:val="00925E85"/>
    <w:rsid w:val="00944557"/>
    <w:rsid w:val="009609C7"/>
    <w:rsid w:val="00976FE8"/>
    <w:rsid w:val="0098473E"/>
    <w:rsid w:val="00984FE8"/>
    <w:rsid w:val="0098727B"/>
    <w:rsid w:val="009933A2"/>
    <w:rsid w:val="00994766"/>
    <w:rsid w:val="009960EA"/>
    <w:rsid w:val="009A0161"/>
    <w:rsid w:val="009B4A14"/>
    <w:rsid w:val="009C30F4"/>
    <w:rsid w:val="009E5408"/>
    <w:rsid w:val="00A07AC7"/>
    <w:rsid w:val="00A273C3"/>
    <w:rsid w:val="00A612E4"/>
    <w:rsid w:val="00A658BE"/>
    <w:rsid w:val="00A67EE2"/>
    <w:rsid w:val="00A861F1"/>
    <w:rsid w:val="00A90FC6"/>
    <w:rsid w:val="00A93717"/>
    <w:rsid w:val="00AB29B3"/>
    <w:rsid w:val="00AC01EA"/>
    <w:rsid w:val="00B12CEE"/>
    <w:rsid w:val="00B17347"/>
    <w:rsid w:val="00B345A9"/>
    <w:rsid w:val="00B50A47"/>
    <w:rsid w:val="00B517CF"/>
    <w:rsid w:val="00B53F27"/>
    <w:rsid w:val="00B642DC"/>
    <w:rsid w:val="00B725F1"/>
    <w:rsid w:val="00B775FE"/>
    <w:rsid w:val="00BB776C"/>
    <w:rsid w:val="00BD16C7"/>
    <w:rsid w:val="00BD3524"/>
    <w:rsid w:val="00BD3BC1"/>
    <w:rsid w:val="00BD4556"/>
    <w:rsid w:val="00BF5C6E"/>
    <w:rsid w:val="00BF607F"/>
    <w:rsid w:val="00C24559"/>
    <w:rsid w:val="00C37EF5"/>
    <w:rsid w:val="00C7334A"/>
    <w:rsid w:val="00CA06AE"/>
    <w:rsid w:val="00CA3E20"/>
    <w:rsid w:val="00CC5326"/>
    <w:rsid w:val="00CD122D"/>
    <w:rsid w:val="00CD5FA7"/>
    <w:rsid w:val="00D1311E"/>
    <w:rsid w:val="00D32499"/>
    <w:rsid w:val="00D537A4"/>
    <w:rsid w:val="00D666D6"/>
    <w:rsid w:val="00D94572"/>
    <w:rsid w:val="00D95A79"/>
    <w:rsid w:val="00D96FBC"/>
    <w:rsid w:val="00DA664C"/>
    <w:rsid w:val="00DC5D8D"/>
    <w:rsid w:val="00DE7C21"/>
    <w:rsid w:val="00DF0910"/>
    <w:rsid w:val="00E15971"/>
    <w:rsid w:val="00E20DC1"/>
    <w:rsid w:val="00E2554F"/>
    <w:rsid w:val="00E52D05"/>
    <w:rsid w:val="00E55DF6"/>
    <w:rsid w:val="00E7654A"/>
    <w:rsid w:val="00ED3593"/>
    <w:rsid w:val="00F20033"/>
    <w:rsid w:val="00F556D1"/>
    <w:rsid w:val="00F55A89"/>
    <w:rsid w:val="00F622BE"/>
    <w:rsid w:val="00F729C2"/>
    <w:rsid w:val="00F73A94"/>
    <w:rsid w:val="00F77019"/>
    <w:rsid w:val="00F97BA9"/>
    <w:rsid w:val="00FA36E3"/>
    <w:rsid w:val="00FA658B"/>
    <w:rsid w:val="00FB0232"/>
    <w:rsid w:val="00FC67DD"/>
    <w:rsid w:val="00FD6902"/>
    <w:rsid w:val="00FE6F52"/>
    <w:rsid w:val="00FF0C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6">
      <o:colormru v:ext="edit" colors="#ffc"/>
    </o:shapedefaults>
    <o:shapelayout v:ext="edit">
      <o:idmap v:ext="edit" data="1"/>
    </o:shapelayout>
  </w:shapeDefaults>
  <w:decimalSymbol w:val=","/>
  <w:listSeparator w:val=";"/>
  <w15:docId w15:val="{565A4D61-F5EB-4B5E-AB39-C1EFC3A9E064}"/>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pc="http://schemas.microsoft.com/office/word/2010/wordprocessingCanvas" xmlns:o="urn:schemas-microsoft-com:office:office" xmlns:m="http://schemas.openxmlformats.org/officeDocument/2006/math" xmlns:a="http://schemas.openxmlformats.org/drawingml/2006/main" xmlns:v="urn:schemas-microsoft-com:vml" xmlns:wp14="http://schemas.microsoft.com/office/word/2010/wordprocessingDrawing" xmlns:wp="http://schemas.openxmlformats.org/drawingml/2006/wordprocessingDrawing"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15">
  <w:docDefaults>
    <w:rPrDefault>
      <w:rPr>
        <w:rFonts w:asciiTheme="majorHAnsi" w:eastAsiaTheme="minorHAnsi" w:hAnsiTheme="majorHAnsi" w:cstheme="minorBidi"/>
        <w:sz w:val="22"/>
        <w:szCs w:val="22"/>
        <w:lang w:val="de-DE" w:eastAsia="en-US" w:bidi="ar-SA"/>
      </w:rPr>
    </w:rPrDefault>
    <w:pPrDefault>
      <w:pPr>
        <w:spacing w:after="120"/>
        <w:ind w:left="1134" w:hanging="113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qFormat="1"/>
    <w:lsdException w:name="List 3" w:semiHidden="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02CD8"/>
    <w:pPr>
      <w:ind w:left="0" w:firstLine="0"/>
    </w:pPr>
    <w:rPr>
      <w:rFonts w:ascii="Arial" w:hAnsi="Arial"/>
      <w:sz w:val="20"/>
    </w:rPr>
  </w:style>
  <w:style w:type="paragraph" w:styleId="berschrift1">
    <w:name w:val="heading 1"/>
    <w:basedOn w:val="Standard"/>
    <w:next w:val="Standard"/>
    <w:link w:val="berschrift1Zchn"/>
    <w:uiPriority w:val="9"/>
    <w:qFormat/>
    <w:rsid w:val="00AC01EA"/>
    <w:pPr>
      <w:keepNext/>
      <w:keepLines/>
      <w:numPr>
        <w:numId w:val="22"/>
      </w:numPr>
      <w:tabs>
        <w:tab w:val="left" w:pos="1134"/>
      </w:tabs>
      <w:spacing w:before="120"/>
      <w:outlineLvl w:val="0"/>
    </w:pPr>
    <w:rPr>
      <w:rFonts w:asciiTheme="majorHAnsi" w:eastAsiaTheme="majorEastAsia" w:hAnsiTheme="majorHAnsi" w:cstheme="majorBidi"/>
      <w:color w:val="7F7F7F" w:themeColor="text1"/>
      <w:sz w:val="28"/>
      <w:szCs w:val="32"/>
    </w:rPr>
  </w:style>
  <w:style w:type="paragraph" w:styleId="berschrift2">
    <w:name w:val="heading 2"/>
    <w:basedOn w:val="Standard"/>
    <w:next w:val="Standard"/>
    <w:link w:val="berschrift2Zchn"/>
    <w:uiPriority w:val="9"/>
    <w:unhideWhenUsed/>
    <w:qFormat/>
    <w:rsid w:val="00AB29B3"/>
    <w:pPr>
      <w:keepNext/>
      <w:keepLines/>
      <w:numPr>
        <w:ilvl w:val="1"/>
        <w:numId w:val="22"/>
      </w:numPr>
      <w:tabs>
        <w:tab w:val="left" w:pos="1134"/>
      </w:tabs>
      <w:spacing w:before="120"/>
      <w:contextualSpacing/>
      <w:outlineLvl w:val="1"/>
    </w:pPr>
    <w:rPr>
      <w:rFonts w:asciiTheme="majorHAnsi" w:eastAsiaTheme="majorEastAsia" w:hAnsiTheme="majorHAnsi" w:cstheme="majorBidi"/>
      <w:color w:val="7F7F7F" w:themeColor="text1"/>
      <w:sz w:val="26"/>
      <w:szCs w:val="26"/>
    </w:rPr>
  </w:style>
  <w:style w:type="paragraph" w:styleId="berschrift3">
    <w:name w:val="heading 3"/>
    <w:basedOn w:val="Standard"/>
    <w:next w:val="Standard"/>
    <w:link w:val="berschrift3Zchn"/>
    <w:uiPriority w:val="9"/>
    <w:unhideWhenUsed/>
    <w:qFormat/>
    <w:rsid w:val="00AB29B3"/>
    <w:pPr>
      <w:keepNext/>
      <w:keepLines/>
      <w:numPr>
        <w:ilvl w:val="2"/>
        <w:numId w:val="22"/>
      </w:numPr>
      <w:tabs>
        <w:tab w:val="left" w:pos="1134"/>
      </w:tabs>
      <w:spacing w:before="40"/>
      <w:outlineLvl w:val="2"/>
    </w:pPr>
    <w:rPr>
      <w:rFonts w:asciiTheme="majorHAnsi" w:eastAsiaTheme="majorEastAsia" w:hAnsiTheme="majorHAnsi" w:cstheme="majorBidi"/>
      <w:color w:val="7F7F7F" w:themeColor="text1"/>
      <w:sz w:val="24"/>
      <w:szCs w:val="24"/>
    </w:rPr>
  </w:style>
  <w:style w:type="paragraph" w:styleId="berschrift4">
    <w:name w:val="heading 4"/>
    <w:basedOn w:val="Standard"/>
    <w:next w:val="Standard"/>
    <w:link w:val="berschrift4Zchn"/>
    <w:uiPriority w:val="9"/>
    <w:unhideWhenUsed/>
    <w:qFormat/>
    <w:rsid w:val="00AB29B3"/>
    <w:pPr>
      <w:keepNext/>
      <w:keepLines/>
      <w:numPr>
        <w:ilvl w:val="3"/>
        <w:numId w:val="22"/>
      </w:numPr>
      <w:tabs>
        <w:tab w:val="left" w:pos="1134"/>
      </w:tabs>
      <w:spacing w:before="120"/>
      <w:contextualSpacing/>
      <w:outlineLvl w:val="3"/>
    </w:pPr>
    <w:rPr>
      <w:rFonts w:asciiTheme="majorHAnsi" w:eastAsiaTheme="majorEastAsia" w:hAnsiTheme="majorHAnsi" w:cstheme="majorBidi"/>
      <w:iCs/>
      <w:color w:val="7F7F7F" w:themeColor="text1"/>
    </w:rPr>
  </w:style>
  <w:style w:type="paragraph" w:styleId="berschrift5">
    <w:name w:val="heading 5"/>
    <w:basedOn w:val="Standard"/>
    <w:next w:val="Standard"/>
    <w:link w:val="berschrift5Zchn"/>
    <w:uiPriority w:val="9"/>
    <w:unhideWhenUsed/>
    <w:qFormat/>
    <w:rsid w:val="00AB29B3"/>
    <w:pPr>
      <w:keepNext/>
      <w:keepLines/>
      <w:numPr>
        <w:ilvl w:val="4"/>
        <w:numId w:val="22"/>
      </w:numPr>
      <w:tabs>
        <w:tab w:val="left" w:pos="1134"/>
      </w:tabs>
      <w:spacing w:before="120"/>
      <w:contextualSpacing/>
      <w:outlineLvl w:val="4"/>
    </w:pPr>
    <w:rPr>
      <w:rFonts w:asciiTheme="majorHAnsi" w:eastAsiaTheme="majorEastAsia" w:hAnsiTheme="majorHAnsi" w:cstheme="majorBidi"/>
      <w:i/>
      <w:color w:val="7F7F7F" w:themeColor="text1"/>
    </w:rPr>
  </w:style>
  <w:style w:type="paragraph" w:styleId="berschrift6">
    <w:name w:val="heading 6"/>
    <w:basedOn w:val="Standard"/>
    <w:next w:val="Standard"/>
    <w:link w:val="berschrift6Zchn"/>
    <w:uiPriority w:val="9"/>
    <w:semiHidden/>
    <w:qFormat/>
    <w:rsid w:val="00CA06AE"/>
    <w:pPr>
      <w:keepNext/>
      <w:keepLines/>
      <w:numPr>
        <w:ilvl w:val="5"/>
        <w:numId w:val="22"/>
      </w:numPr>
      <w:spacing w:before="40" w:after="0"/>
      <w:outlineLvl w:val="5"/>
    </w:pPr>
    <w:rPr>
      <w:rFonts w:asciiTheme="majorHAnsi" w:eastAsiaTheme="majorEastAsia" w:hAnsiTheme="majorHAnsi" w:cstheme="majorBidi"/>
      <w:color w:val="005727" w:themeColor="accent1" w:themeShade="7F"/>
    </w:rPr>
  </w:style>
  <w:style w:type="paragraph" w:styleId="berschrift7">
    <w:name w:val="heading 7"/>
    <w:basedOn w:val="Standard"/>
    <w:next w:val="Standard"/>
    <w:link w:val="berschrift7Zchn"/>
    <w:uiPriority w:val="9"/>
    <w:semiHidden/>
    <w:qFormat/>
    <w:rsid w:val="00CA06AE"/>
    <w:pPr>
      <w:keepNext/>
      <w:keepLines/>
      <w:numPr>
        <w:ilvl w:val="6"/>
        <w:numId w:val="22"/>
      </w:numPr>
      <w:spacing w:before="40" w:after="0"/>
      <w:outlineLvl w:val="6"/>
    </w:pPr>
    <w:rPr>
      <w:rFonts w:asciiTheme="majorHAnsi" w:eastAsiaTheme="majorEastAsia" w:hAnsiTheme="majorHAnsi" w:cstheme="majorBidi"/>
      <w:i/>
      <w:iCs/>
      <w:color w:val="005727" w:themeColor="accent1" w:themeShade="7F"/>
    </w:rPr>
  </w:style>
  <w:style w:type="paragraph" w:styleId="berschrift8">
    <w:name w:val="heading 8"/>
    <w:basedOn w:val="Standard"/>
    <w:next w:val="Standard"/>
    <w:link w:val="berschrift8Zchn"/>
    <w:uiPriority w:val="9"/>
    <w:semiHidden/>
    <w:qFormat/>
    <w:rsid w:val="00CA06AE"/>
    <w:pPr>
      <w:keepNext/>
      <w:keepLines/>
      <w:numPr>
        <w:ilvl w:val="7"/>
        <w:numId w:val="22"/>
      </w:numPr>
      <w:spacing w:before="40" w:after="0"/>
      <w:outlineLvl w:val="7"/>
    </w:pPr>
    <w:rPr>
      <w:rFonts w:asciiTheme="majorHAnsi" w:eastAsiaTheme="majorEastAsia" w:hAnsiTheme="majorHAnsi" w:cstheme="majorBidi"/>
      <w:color w:val="929292" w:themeColor="text1" w:themeTint="D8"/>
      <w:sz w:val="21"/>
      <w:szCs w:val="21"/>
    </w:rPr>
  </w:style>
  <w:style w:type="paragraph" w:styleId="berschrift9">
    <w:name w:val="heading 9"/>
    <w:basedOn w:val="Standard"/>
    <w:next w:val="Standard"/>
    <w:link w:val="berschrift9Zchn"/>
    <w:uiPriority w:val="9"/>
    <w:semiHidden/>
    <w:qFormat/>
    <w:rsid w:val="00CA06AE"/>
    <w:pPr>
      <w:keepNext/>
      <w:keepLines/>
      <w:numPr>
        <w:ilvl w:val="8"/>
        <w:numId w:val="22"/>
      </w:numPr>
      <w:spacing w:before="40" w:after="0"/>
      <w:outlineLvl w:val="8"/>
    </w:pPr>
    <w:rPr>
      <w:rFonts w:asciiTheme="majorHAnsi" w:eastAsiaTheme="majorEastAsia" w:hAnsiTheme="majorHAnsi" w:cstheme="majorBidi"/>
      <w:i/>
      <w:iCs/>
      <w:color w:val="929292"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95478"/>
    <w:pPr>
      <w:tabs>
        <w:tab w:val="center" w:pos="4820"/>
        <w:tab w:val="right" w:pos="9639"/>
      </w:tabs>
      <w:spacing w:after="0"/>
    </w:pPr>
    <w:rPr>
      <w:rFonts w:asciiTheme="minorHAnsi" w:hAnsiTheme="minorHAnsi"/>
      <w:sz w:val="16"/>
    </w:rPr>
  </w:style>
  <w:style w:type="character" w:customStyle="1" w:styleId="KopfzeileZchn">
    <w:name w:val="Kopfzeile Zchn"/>
    <w:basedOn w:val="Absatz-Standardschriftart"/>
    <w:link w:val="Kopfzeile"/>
    <w:uiPriority w:val="99"/>
    <w:rsid w:val="00795478"/>
    <w:rPr>
      <w:rFonts w:asciiTheme="minorHAnsi" w:hAnsiTheme="minorHAnsi"/>
      <w:sz w:val="16"/>
    </w:rPr>
  </w:style>
  <w:style w:type="paragraph" w:styleId="Fuzeile">
    <w:name w:val="footer"/>
    <w:basedOn w:val="Standard"/>
    <w:link w:val="FuzeileZchn"/>
    <w:uiPriority w:val="99"/>
    <w:unhideWhenUsed/>
    <w:rsid w:val="00522E3C"/>
    <w:pPr>
      <w:tabs>
        <w:tab w:val="right" w:pos="9639"/>
      </w:tabs>
      <w:spacing w:after="0"/>
    </w:pPr>
    <w:rPr>
      <w:rFonts w:asciiTheme="minorHAnsi" w:hAnsiTheme="minorHAnsi"/>
      <w:sz w:val="16"/>
    </w:rPr>
  </w:style>
  <w:style w:type="character" w:customStyle="1" w:styleId="FuzeileZchn">
    <w:name w:val="Fußzeile Zchn"/>
    <w:basedOn w:val="Absatz-Standardschriftart"/>
    <w:link w:val="Fuzeile"/>
    <w:uiPriority w:val="99"/>
    <w:rsid w:val="005C3C88"/>
    <w:rPr>
      <w:rFonts w:asciiTheme="minorHAnsi" w:hAnsiTheme="minorHAnsi"/>
      <w:sz w:val="16"/>
    </w:rPr>
  </w:style>
  <w:style w:type="paragraph" w:styleId="Titel">
    <w:name w:val="Title"/>
    <w:basedOn w:val="Standard"/>
    <w:next w:val="Standard"/>
    <w:link w:val="TitelZchn"/>
    <w:uiPriority w:val="10"/>
    <w:qFormat/>
    <w:rsid w:val="00012F1A"/>
    <w:pPr>
      <w:keepNext/>
      <w:keepLines/>
      <w:contextualSpacing/>
    </w:pPr>
    <w:rPr>
      <w:rFonts w:eastAsiaTheme="majorEastAsia" w:cstheme="majorBidi"/>
      <w:color w:val="FFFFFF" w:themeColor="background1"/>
      <w:spacing w:val="-10"/>
      <w:kern w:val="28"/>
      <w:sz w:val="56"/>
      <w:szCs w:val="56"/>
    </w:rPr>
  </w:style>
  <w:style w:type="character" w:customStyle="1" w:styleId="TitelZchn">
    <w:name w:val="Titel Zchn"/>
    <w:basedOn w:val="Absatz-Standardschriftart"/>
    <w:link w:val="Titel"/>
    <w:uiPriority w:val="10"/>
    <w:rsid w:val="00012F1A"/>
    <w:rPr>
      <w:rFonts w:ascii="Arial" w:eastAsiaTheme="majorEastAsia" w:hAnsi="Arial" w:cstheme="majorBidi"/>
      <w:color w:val="FFFFFF" w:themeColor="background1"/>
      <w:spacing w:val="-10"/>
      <w:kern w:val="28"/>
      <w:sz w:val="56"/>
      <w:szCs w:val="56"/>
    </w:rPr>
  </w:style>
  <w:style w:type="character" w:customStyle="1" w:styleId="berschrift4Zchn">
    <w:name w:val="Überschrift 4 Zchn"/>
    <w:basedOn w:val="Absatz-Standardschriftart"/>
    <w:link w:val="berschrift4"/>
    <w:uiPriority w:val="9"/>
    <w:rsid w:val="00AB29B3"/>
    <w:rPr>
      <w:rFonts w:eastAsiaTheme="majorEastAsia" w:cstheme="majorBidi"/>
      <w:iCs/>
      <w:color w:val="7F7F7F" w:themeColor="text1"/>
      <w:sz w:val="20"/>
    </w:rPr>
  </w:style>
  <w:style w:type="character" w:customStyle="1" w:styleId="berschrift1Zchn">
    <w:name w:val="Überschrift 1 Zchn"/>
    <w:basedOn w:val="Absatz-Standardschriftart"/>
    <w:link w:val="berschrift1"/>
    <w:uiPriority w:val="9"/>
    <w:rsid w:val="00AB29B3"/>
    <w:rPr>
      <w:rFonts w:eastAsiaTheme="majorEastAsia" w:cstheme="majorBidi"/>
      <w:color w:val="7F7F7F" w:themeColor="text1"/>
      <w:sz w:val="28"/>
      <w:szCs w:val="32"/>
    </w:rPr>
  </w:style>
  <w:style w:type="character" w:customStyle="1" w:styleId="berschrift2Zchn">
    <w:name w:val="Überschrift 2 Zchn"/>
    <w:basedOn w:val="Absatz-Standardschriftart"/>
    <w:link w:val="berschrift2"/>
    <w:uiPriority w:val="9"/>
    <w:rsid w:val="00AB29B3"/>
    <w:rPr>
      <w:rFonts w:eastAsiaTheme="majorEastAsia" w:cstheme="majorBidi"/>
      <w:color w:val="7F7F7F" w:themeColor="text1"/>
      <w:sz w:val="26"/>
      <w:szCs w:val="26"/>
    </w:rPr>
  </w:style>
  <w:style w:type="character" w:customStyle="1" w:styleId="berschrift3Zchn">
    <w:name w:val="Überschrift 3 Zchn"/>
    <w:basedOn w:val="Absatz-Standardschriftart"/>
    <w:link w:val="berschrift3"/>
    <w:uiPriority w:val="9"/>
    <w:rsid w:val="00AB29B3"/>
    <w:rPr>
      <w:rFonts w:eastAsiaTheme="majorEastAsia" w:cstheme="majorBidi"/>
      <w:color w:val="7F7F7F" w:themeColor="text1"/>
      <w:sz w:val="24"/>
      <w:szCs w:val="24"/>
    </w:rPr>
  </w:style>
  <w:style w:type="character" w:customStyle="1" w:styleId="berschrift5Zchn">
    <w:name w:val="Überschrift 5 Zchn"/>
    <w:basedOn w:val="Absatz-Standardschriftart"/>
    <w:link w:val="berschrift5"/>
    <w:uiPriority w:val="9"/>
    <w:rsid w:val="00AB29B3"/>
    <w:rPr>
      <w:rFonts w:eastAsiaTheme="majorEastAsia" w:cstheme="majorBidi"/>
      <w:i/>
      <w:color w:val="7F7F7F" w:themeColor="text1"/>
      <w:sz w:val="20"/>
    </w:rPr>
  </w:style>
  <w:style w:type="character" w:styleId="Fett">
    <w:name w:val="Strong"/>
    <w:basedOn w:val="Absatz-Standardschriftart"/>
    <w:uiPriority w:val="22"/>
    <w:qFormat/>
    <w:rsid w:val="00E52D05"/>
    <w:rPr>
      <w:b/>
      <w:bCs/>
    </w:rPr>
  </w:style>
  <w:style w:type="paragraph" w:customStyle="1" w:styleId="Listeneinfhrung">
    <w:name w:val="Listeneinführung"/>
    <w:basedOn w:val="Standard"/>
    <w:next w:val="Liste1"/>
    <w:qFormat/>
    <w:rsid w:val="00244857"/>
    <w:pPr>
      <w:keepNext/>
      <w:keepLines/>
      <w:contextualSpacing/>
    </w:pPr>
  </w:style>
  <w:style w:type="paragraph" w:styleId="Untertitel">
    <w:name w:val="Subtitle"/>
    <w:basedOn w:val="Standard"/>
    <w:next w:val="Standard"/>
    <w:link w:val="UntertitelZchn"/>
    <w:uiPriority w:val="11"/>
    <w:rsid w:val="00522E3C"/>
    <w:pPr>
      <w:numPr>
        <w:ilvl w:val="1"/>
      </w:numPr>
      <w:spacing w:after="160" w:line="259" w:lineRule="auto"/>
    </w:pPr>
    <w:rPr>
      <w:rFonts w:asciiTheme="minorHAnsi" w:eastAsiaTheme="minorEastAsia" w:hAnsiTheme="minorHAnsi" w:cs="Times New Roman"/>
      <w:color w:val="ACACAC" w:themeColor="text1" w:themeTint="A5"/>
      <w:spacing w:val="15"/>
      <w:sz w:val="22"/>
      <w:lang w:eastAsia="de-DE"/>
    </w:rPr>
  </w:style>
  <w:style w:type="character" w:customStyle="1" w:styleId="UntertitelZchn">
    <w:name w:val="Untertitel Zchn"/>
    <w:basedOn w:val="Absatz-Standardschriftart"/>
    <w:link w:val="Untertitel"/>
    <w:uiPriority w:val="11"/>
    <w:rsid w:val="00522E3C"/>
    <w:rPr>
      <w:rFonts w:asciiTheme="minorHAnsi" w:eastAsiaTheme="minorEastAsia" w:hAnsiTheme="minorHAnsi" w:cs="Times New Roman"/>
      <w:color w:val="ACACAC" w:themeColor="text1" w:themeTint="A5"/>
      <w:spacing w:val="15"/>
      <w:lang w:eastAsia="de-DE"/>
    </w:rPr>
  </w:style>
  <w:style w:type="paragraph" w:customStyle="1" w:styleId="LL-Autoren">
    <w:name w:val="LL-Autoren"/>
    <w:basedOn w:val="Standard"/>
    <w:rsid w:val="00522E3C"/>
    <w:rPr>
      <w:color w:val="7F7F7F" w:themeColor="text1"/>
    </w:rPr>
  </w:style>
  <w:style w:type="paragraph" w:customStyle="1" w:styleId="LLAutoren-berschrift">
    <w:name w:val="LLAutoren-Überschrift"/>
    <w:basedOn w:val="LL-Autoren"/>
    <w:rsid w:val="00B53F27"/>
    <w:pPr>
      <w:spacing w:before="360"/>
    </w:pPr>
    <w:rPr>
      <w:b/>
    </w:rPr>
  </w:style>
  <w:style w:type="paragraph" w:customStyle="1" w:styleId="Metadaten">
    <w:name w:val="Metadaten"/>
    <w:basedOn w:val="Standard"/>
    <w:rsid w:val="00A612E4"/>
    <w:pPr>
      <w:spacing w:before="120"/>
      <w:ind w:left="720"/>
      <w:contextualSpacing/>
      <w:jc w:val="right"/>
    </w:pPr>
    <w:rPr>
      <w:color w:val="FFFFFF" w:themeColor="background1"/>
      <w:sz w:val="24"/>
    </w:rPr>
  </w:style>
  <w:style w:type="table" w:styleId="Tabellenraster">
    <w:name w:val="Table Grid"/>
    <w:basedOn w:val="NormaleTabelle"/>
    <w:uiPriority w:val="39"/>
    <w:rsid w:val="00DA664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mithellemGitternetz1">
    <w:name w:val="Tabelle mit hellem Gitternetz1"/>
    <w:basedOn w:val="NormaleTabelle"/>
    <w:uiPriority w:val="40"/>
    <w:rsid w:val="00DA664C"/>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ellenkopf">
    <w:name w:val="Tabellenkopf"/>
    <w:basedOn w:val="Standard"/>
    <w:qFormat/>
    <w:rsid w:val="00FE6F52"/>
    <w:pPr>
      <w:contextualSpacing/>
      <w:jc w:val="center"/>
    </w:pPr>
    <w:rPr>
      <w:b/>
      <w:sz w:val="19"/>
    </w:rPr>
  </w:style>
  <w:style w:type="paragraph" w:customStyle="1" w:styleId="Tabellenbody">
    <w:name w:val="Tabellenbody"/>
    <w:basedOn w:val="Standard"/>
    <w:qFormat/>
    <w:rsid w:val="00B775FE"/>
    <w:pPr>
      <w:contextualSpacing/>
    </w:pPr>
    <w:rPr>
      <w:sz w:val="19"/>
    </w:rPr>
  </w:style>
  <w:style w:type="table" w:customStyle="1" w:styleId="TabelleInSpalte">
    <w:name w:val="TabelleInSpalte"/>
    <w:basedOn w:val="NormaleTabelle"/>
    <w:uiPriority w:val="99"/>
    <w:rsid w:val="00D32499"/>
    <w:pPr>
      <w:spacing w:after="0"/>
      <w:ind w:left="0" w:firstLine="0"/>
    </w:pPr>
    <w:tblPr>
      <w:tblInd w:w="113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cPr>
      <w:shd w:val="clear" w:color="auto" w:fill="auto"/>
    </w:tcPr>
    <w:tblStylePr w:type="firstRow">
      <w:rPr>
        <w:b w:val="0"/>
      </w:rPr>
      <w:tblPr/>
      <w:trPr>
        <w:cantSplit/>
      </w:trPr>
      <w:tcPr>
        <w:shd w:val="clear" w:color="auto" w:fill="DBEBD0" w:themeFill="accent6"/>
      </w:tcPr>
    </w:tblStylePr>
  </w:style>
  <w:style w:type="character" w:customStyle="1" w:styleId="TherapieNeu">
    <w:name w:val="TherapieNeu"/>
    <w:basedOn w:val="Absatz-Standardschriftart"/>
    <w:uiPriority w:val="1"/>
    <w:qFormat/>
    <w:rsid w:val="00305666"/>
    <w:rPr>
      <w:color w:val="00B050" w:themeColor="accent1"/>
    </w:rPr>
  </w:style>
  <w:style w:type="character" w:customStyle="1" w:styleId="TherapieVergleich">
    <w:name w:val="TherapieVergleich"/>
    <w:basedOn w:val="Absatz-Standardschriftart"/>
    <w:uiPriority w:val="1"/>
    <w:qFormat/>
    <w:rsid w:val="00305666"/>
    <w:rPr>
      <w:color w:val="FF0000" w:themeColor="accent2"/>
    </w:rPr>
  </w:style>
  <w:style w:type="paragraph" w:styleId="Endnotentext">
    <w:name w:val="endnote text"/>
    <w:basedOn w:val="Standard"/>
    <w:link w:val="EndnotentextZchn"/>
    <w:uiPriority w:val="99"/>
    <w:semiHidden/>
    <w:unhideWhenUsed/>
    <w:rsid w:val="007A3900"/>
    <w:pPr>
      <w:spacing w:after="0"/>
    </w:pPr>
    <w:rPr>
      <w:szCs w:val="20"/>
    </w:rPr>
  </w:style>
  <w:style w:type="character" w:customStyle="1" w:styleId="EndnotentextZchn">
    <w:name w:val="Endnotentext Zchn"/>
    <w:basedOn w:val="Absatz-Standardschriftart"/>
    <w:link w:val="Endnotentext"/>
    <w:uiPriority w:val="99"/>
    <w:semiHidden/>
    <w:rsid w:val="005C3C88"/>
    <w:rPr>
      <w:rFonts w:ascii="Arial" w:hAnsi="Arial"/>
      <w:sz w:val="20"/>
      <w:szCs w:val="20"/>
    </w:rPr>
  </w:style>
  <w:style w:type="character" w:styleId="Endnotenzeichen">
    <w:name w:val="endnote reference"/>
    <w:basedOn w:val="Absatz-Standardschriftart"/>
    <w:uiPriority w:val="99"/>
    <w:semiHidden/>
    <w:unhideWhenUsed/>
    <w:rsid w:val="007A3900"/>
    <w:rPr>
      <w:vertAlign w:val="superscript"/>
    </w:rPr>
  </w:style>
  <w:style w:type="paragraph" w:styleId="Funotentext">
    <w:name w:val="footnote text"/>
    <w:basedOn w:val="Standard"/>
    <w:link w:val="FunotentextZchn"/>
    <w:uiPriority w:val="99"/>
    <w:unhideWhenUsed/>
    <w:rsid w:val="007A3900"/>
    <w:pPr>
      <w:spacing w:after="0"/>
    </w:pPr>
    <w:rPr>
      <w:szCs w:val="20"/>
    </w:rPr>
  </w:style>
  <w:style w:type="character" w:customStyle="1" w:styleId="FunotentextZchn">
    <w:name w:val="Fußnotentext Zchn"/>
    <w:basedOn w:val="Absatz-Standardschriftart"/>
    <w:link w:val="Funotentext"/>
    <w:uiPriority w:val="99"/>
    <w:rsid w:val="005C3C88"/>
    <w:rPr>
      <w:rFonts w:ascii="Arial" w:hAnsi="Arial"/>
      <w:sz w:val="20"/>
      <w:szCs w:val="20"/>
    </w:rPr>
  </w:style>
  <w:style w:type="character" w:styleId="Funotenzeichen">
    <w:name w:val="footnote reference"/>
    <w:basedOn w:val="Absatz-Standardschriftart"/>
    <w:uiPriority w:val="99"/>
    <w:semiHidden/>
    <w:unhideWhenUsed/>
    <w:rsid w:val="007A3900"/>
    <w:rPr>
      <w:vertAlign w:val="superscript"/>
    </w:rPr>
  </w:style>
  <w:style w:type="paragraph" w:styleId="Liste">
    <w:name w:val="List"/>
    <w:basedOn w:val="Standard"/>
    <w:uiPriority w:val="99"/>
    <w:semiHidden/>
    <w:rsid w:val="001C303D"/>
    <w:pPr>
      <w:tabs>
        <w:tab w:val="left" w:pos="284"/>
      </w:tabs>
      <w:ind w:left="284" w:hanging="284"/>
      <w:contextualSpacing/>
    </w:pPr>
  </w:style>
  <w:style w:type="paragraph" w:customStyle="1" w:styleId="Liste1">
    <w:name w:val="Liste 1"/>
    <w:basedOn w:val="Standard"/>
    <w:qFormat/>
    <w:rsid w:val="00273545"/>
    <w:pPr>
      <w:keepLines/>
      <w:numPr>
        <w:numId w:val="5"/>
      </w:numPr>
      <w:tabs>
        <w:tab w:val="left" w:pos="284"/>
      </w:tabs>
      <w:contextualSpacing/>
    </w:pPr>
  </w:style>
  <w:style w:type="paragraph" w:styleId="Liste2">
    <w:name w:val="List 2"/>
    <w:basedOn w:val="Standard"/>
    <w:uiPriority w:val="99"/>
    <w:rsid w:val="00602849"/>
    <w:pPr>
      <w:keepLines/>
      <w:numPr>
        <w:ilvl w:val="1"/>
        <w:numId w:val="5"/>
      </w:numPr>
      <w:tabs>
        <w:tab w:val="left" w:pos="567"/>
      </w:tabs>
      <w:contextualSpacing/>
    </w:pPr>
  </w:style>
  <w:style w:type="paragraph" w:styleId="Liste3">
    <w:name w:val="List 3"/>
    <w:basedOn w:val="Standard"/>
    <w:uiPriority w:val="99"/>
    <w:semiHidden/>
    <w:rsid w:val="00602850"/>
    <w:pPr>
      <w:numPr>
        <w:ilvl w:val="2"/>
        <w:numId w:val="5"/>
      </w:numPr>
      <w:tabs>
        <w:tab w:val="left" w:pos="851"/>
      </w:tabs>
      <w:contextualSpacing/>
    </w:pPr>
  </w:style>
  <w:style w:type="paragraph" w:styleId="Liste4">
    <w:name w:val="List 4"/>
    <w:basedOn w:val="Standard"/>
    <w:uiPriority w:val="99"/>
    <w:semiHidden/>
    <w:rsid w:val="00602851"/>
    <w:pPr>
      <w:numPr>
        <w:ilvl w:val="3"/>
        <w:numId w:val="5"/>
      </w:numPr>
      <w:tabs>
        <w:tab w:val="left" w:pos="1134"/>
      </w:tabs>
      <w:spacing w:before="60" w:after="60"/>
      <w:contextualSpacing/>
    </w:pPr>
  </w:style>
  <w:style w:type="paragraph" w:styleId="Liste5">
    <w:name w:val="List 5"/>
    <w:basedOn w:val="Standard"/>
    <w:uiPriority w:val="99"/>
    <w:semiHidden/>
    <w:rsid w:val="00B775FE"/>
    <w:pPr>
      <w:numPr>
        <w:ilvl w:val="4"/>
        <w:numId w:val="5"/>
      </w:numPr>
      <w:tabs>
        <w:tab w:val="left" w:pos="1418"/>
      </w:tabs>
      <w:contextualSpacing/>
    </w:pPr>
  </w:style>
  <w:style w:type="paragraph" w:styleId="Literaturverzeichnis">
    <w:name w:val="Bibliography"/>
    <w:basedOn w:val="Standard"/>
    <w:uiPriority w:val="37"/>
    <w:unhideWhenUsed/>
    <w:rsid w:val="003F1495"/>
    <w:pPr>
      <w:numPr>
        <w:numId w:val="19"/>
      </w:numPr>
    </w:pPr>
  </w:style>
  <w:style w:type="paragraph" w:customStyle="1" w:styleId="Legende">
    <w:name w:val="Legende"/>
    <w:basedOn w:val="Standard"/>
    <w:qFormat/>
    <w:rsid w:val="00244857"/>
    <w:pPr>
      <w:contextualSpacing/>
    </w:pPr>
    <w:rPr>
      <w:i/>
      <w:sz w:val="16"/>
    </w:rPr>
  </w:style>
  <w:style w:type="paragraph" w:customStyle="1" w:styleId="Grafikabsatz">
    <w:name w:val="Grafikabsatz"/>
    <w:basedOn w:val="Standard"/>
    <w:qFormat/>
    <w:rsid w:val="005C3C88"/>
    <w:pPr>
      <w:spacing w:after="0"/>
    </w:pPr>
    <w:rPr>
      <w:sz w:val="16"/>
    </w:rPr>
  </w:style>
  <w:style w:type="paragraph" w:customStyle="1" w:styleId="Dateiname">
    <w:name w:val="Dateiname"/>
    <w:basedOn w:val="Standard"/>
    <w:rsid w:val="00A90FC6"/>
    <w:pPr>
      <w:keepNext/>
      <w:keepLines/>
      <w:spacing w:after="0" w:line="360" w:lineRule="auto"/>
    </w:pPr>
    <w:rPr>
      <w:i/>
      <w:iCs/>
      <w:color w:val="7F7F7F" w:themeColor="text1"/>
      <w:sz w:val="18"/>
      <w:szCs w:val="18"/>
    </w:rPr>
  </w:style>
  <w:style w:type="character" w:styleId="Hyperlink">
    <w:name w:val="Hyperlink"/>
    <w:basedOn w:val="Absatz-Standardschriftart"/>
    <w:uiPriority w:val="99"/>
    <w:unhideWhenUsed/>
    <w:rsid w:val="00984FE8"/>
    <w:rPr>
      <w:color w:val="2E75B5" w:themeColor="hyperlink"/>
      <w:u w:val="single"/>
    </w:rPr>
  </w:style>
  <w:style w:type="paragraph" w:customStyle="1" w:styleId="AutorFirma">
    <w:name w:val="AutorFirma"/>
    <w:basedOn w:val="Standard"/>
    <w:next w:val="AutorStrasse"/>
    <w:rsid w:val="00B517CF"/>
    <w:pPr>
      <w:keepNext/>
      <w:keepLines/>
      <w:spacing w:after="0"/>
    </w:pPr>
  </w:style>
  <w:style w:type="paragraph" w:customStyle="1" w:styleId="AutorStadt">
    <w:name w:val="AutorStadt"/>
    <w:basedOn w:val="Standard"/>
    <w:next w:val="AutorTelefon"/>
    <w:rsid w:val="004F23AB"/>
    <w:pPr>
      <w:keepNext/>
      <w:keepLines/>
      <w:spacing w:after="0"/>
    </w:pPr>
  </w:style>
  <w:style w:type="paragraph" w:customStyle="1" w:styleId="AutorStrasse">
    <w:name w:val="AutorStrasse"/>
    <w:basedOn w:val="Standard"/>
    <w:next w:val="AutorStadt"/>
    <w:rsid w:val="004F23AB"/>
    <w:pPr>
      <w:keepNext/>
      <w:keepLines/>
      <w:spacing w:after="0"/>
    </w:pPr>
  </w:style>
  <w:style w:type="paragraph" w:customStyle="1" w:styleId="AutorTelefon">
    <w:name w:val="AutorTelefon"/>
    <w:basedOn w:val="Standard"/>
    <w:next w:val="AutorTelefax"/>
    <w:rsid w:val="004F23AB"/>
    <w:pPr>
      <w:keepNext/>
      <w:keepLines/>
      <w:tabs>
        <w:tab w:val="left" w:pos="2268"/>
      </w:tabs>
      <w:spacing w:after="0"/>
    </w:pPr>
  </w:style>
  <w:style w:type="paragraph" w:customStyle="1" w:styleId="AutorTelefax">
    <w:name w:val="AutorTelefax"/>
    <w:basedOn w:val="Standard"/>
    <w:next w:val="AutorEmail"/>
    <w:rsid w:val="004F23AB"/>
    <w:pPr>
      <w:keepNext/>
      <w:keepLines/>
      <w:tabs>
        <w:tab w:val="left" w:pos="2268"/>
      </w:tabs>
      <w:spacing w:after="0"/>
    </w:pPr>
  </w:style>
  <w:style w:type="paragraph" w:customStyle="1" w:styleId="AutorEmail">
    <w:name w:val="AutorEmail"/>
    <w:basedOn w:val="Standard"/>
    <w:next w:val="AutorName"/>
    <w:rsid w:val="003F336B"/>
    <w:pPr>
      <w:tabs>
        <w:tab w:val="left" w:pos="2268"/>
      </w:tabs>
      <w:spacing w:after="0"/>
    </w:pPr>
  </w:style>
  <w:style w:type="character" w:customStyle="1" w:styleId="Literaturverweis">
    <w:name w:val="Literaturverweis"/>
    <w:basedOn w:val="Absatz-Standardschriftart"/>
    <w:uiPriority w:val="1"/>
    <w:rsid w:val="00BF607F"/>
    <w:rPr>
      <w:color w:val="538135" w:themeColor="accent3"/>
      <w:u w:val="single"/>
    </w:rPr>
  </w:style>
  <w:style w:type="paragraph" w:customStyle="1" w:styleId="AutorName">
    <w:name w:val="AutorName"/>
    <w:basedOn w:val="Standard"/>
    <w:next w:val="AutorFirma"/>
    <w:rsid w:val="004F23AB"/>
    <w:pPr>
      <w:keepNext/>
      <w:keepLines/>
      <w:spacing w:before="240" w:after="0"/>
    </w:pPr>
    <w:rPr>
      <w:b/>
    </w:rPr>
  </w:style>
  <w:style w:type="character" w:customStyle="1" w:styleId="berschrift6Zchn">
    <w:name w:val="Überschrift 6 Zchn"/>
    <w:basedOn w:val="Absatz-Standardschriftart"/>
    <w:link w:val="berschrift6"/>
    <w:uiPriority w:val="9"/>
    <w:semiHidden/>
    <w:rsid w:val="00CA06AE"/>
    <w:rPr>
      <w:rFonts w:eastAsiaTheme="majorEastAsia" w:cstheme="majorBidi"/>
      <w:color w:val="005727" w:themeColor="accent1" w:themeShade="7F"/>
      <w:sz w:val="20"/>
    </w:rPr>
  </w:style>
  <w:style w:type="character" w:customStyle="1" w:styleId="berschrift7Zchn">
    <w:name w:val="Überschrift 7 Zchn"/>
    <w:basedOn w:val="Absatz-Standardschriftart"/>
    <w:link w:val="berschrift7"/>
    <w:uiPriority w:val="9"/>
    <w:semiHidden/>
    <w:rsid w:val="00CA06AE"/>
    <w:rPr>
      <w:rFonts w:eastAsiaTheme="majorEastAsia" w:cstheme="majorBidi"/>
      <w:i/>
      <w:iCs/>
      <w:color w:val="005727" w:themeColor="accent1" w:themeShade="7F"/>
      <w:sz w:val="20"/>
    </w:rPr>
  </w:style>
  <w:style w:type="character" w:customStyle="1" w:styleId="berschrift8Zchn">
    <w:name w:val="Überschrift 8 Zchn"/>
    <w:basedOn w:val="Absatz-Standardschriftart"/>
    <w:link w:val="berschrift8"/>
    <w:uiPriority w:val="9"/>
    <w:semiHidden/>
    <w:rsid w:val="00CA06AE"/>
    <w:rPr>
      <w:rFonts w:eastAsiaTheme="majorEastAsia" w:cstheme="majorBidi"/>
      <w:color w:val="929292" w:themeColor="text1" w:themeTint="D8"/>
      <w:sz w:val="21"/>
      <w:szCs w:val="21"/>
    </w:rPr>
  </w:style>
  <w:style w:type="character" w:customStyle="1" w:styleId="berschrift9Zchn">
    <w:name w:val="Überschrift 9 Zchn"/>
    <w:basedOn w:val="Absatz-Standardschriftart"/>
    <w:link w:val="berschrift9"/>
    <w:uiPriority w:val="9"/>
    <w:semiHidden/>
    <w:rsid w:val="00CA06AE"/>
    <w:rPr>
      <w:rFonts w:eastAsiaTheme="majorEastAsia" w:cstheme="majorBidi"/>
      <w:i/>
      <w:iCs/>
      <w:color w:val="929292" w:themeColor="text1" w:themeTint="D8"/>
      <w:sz w:val="21"/>
      <w:szCs w:val="21"/>
    </w:rPr>
  </w:style>
  <w:style w:type="paragraph" w:customStyle="1" w:styleId="Grafikbeschriftung">
    <w:name w:val="Grafikbeschriftung"/>
    <w:basedOn w:val="Standard"/>
    <w:next w:val="Grafikabsatz"/>
    <w:qFormat/>
    <w:rsid w:val="005C3C88"/>
    <w:pPr>
      <w:keepNext/>
      <w:keepLines/>
      <w:spacing w:before="200" w:after="0" w:line="360" w:lineRule="auto"/>
    </w:pPr>
    <w:rPr>
      <w:i/>
      <w:iCs/>
      <w:color w:val="7F7F7F" w:themeColor="text1"/>
      <w:sz w:val="18"/>
      <w:szCs w:val="18"/>
    </w:rPr>
  </w:style>
  <w:style w:type="paragraph" w:customStyle="1" w:styleId="Tabellenbeschriftung">
    <w:name w:val="Tabellenbeschriftung"/>
    <w:basedOn w:val="Standard"/>
    <w:qFormat/>
    <w:rsid w:val="00A612E4"/>
    <w:pPr>
      <w:keepNext/>
      <w:keepLines/>
      <w:spacing w:before="200" w:after="60"/>
      <w:ind w:left="1418" w:hanging="1418"/>
    </w:pPr>
    <w:rPr>
      <w:i/>
      <w:iCs/>
      <w:color w:val="7F7F7F" w:themeColor="text1"/>
      <w:sz w:val="18"/>
      <w:szCs w:val="18"/>
    </w:rPr>
  </w:style>
  <w:style w:type="character" w:customStyle="1" w:styleId="LegendenzeichenHochgestellt">
    <w:name w:val="Legendenzeichen Hochgestellt"/>
    <w:basedOn w:val="Absatz-Standardschriftart"/>
    <w:uiPriority w:val="1"/>
    <w:rsid w:val="0086320B"/>
    <w:rPr>
      <w:vertAlign w:val="superscript"/>
    </w:rPr>
  </w:style>
  <w:style w:type="table" w:customStyle="1" w:styleId="TabelleKomplett">
    <w:name w:val="TabelleKomplett"/>
    <w:basedOn w:val="NormaleTabelle"/>
    <w:uiPriority w:val="99"/>
    <w:rsid w:val="00D32499"/>
    <w:pPr>
      <w:spacing w:after="0"/>
      <w:ind w:left="0" w:firstLine="0"/>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rPr>
        <w:b w:val="0"/>
      </w:rPr>
      <w:tblPr/>
      <w:trPr>
        <w:cantSplit/>
      </w:trPr>
      <w:tcPr>
        <w:shd w:val="clear" w:color="auto" w:fill="DBEBD0" w:themeFill="accent6"/>
      </w:tcPr>
    </w:tblStylePr>
  </w:style>
  <w:style w:type="paragraph" w:styleId="Sprechblasentext">
    <w:name w:val="Balloon Text"/>
    <w:basedOn w:val="Standard"/>
    <w:link w:val="SprechblasentextZchn"/>
    <w:uiPriority w:val="99"/>
    <w:semiHidden/>
    <w:unhideWhenUsed/>
    <w:rsid w:val="007C3571"/>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C3571"/>
    <w:rPr>
      <w:rFonts w:ascii="Tahoma" w:hAnsi="Tahoma" w:cs="Tahoma"/>
      <w:sz w:val="16"/>
      <w:szCs w:val="16"/>
    </w:rPr>
  </w:style>
  <w:style w:type="paragraph" w:styleId="Standardeinzug">
    <w:name w:val="Normal Indent"/>
    <w:basedOn w:val="Standard"/>
    <w:uiPriority w:val="99"/>
    <w:semiHidden/>
    <w:unhideWhenUsed/>
    <w:rsid w:val="00D1311E"/>
    <w:pPr>
      <w:ind w:left="567"/>
    </w:pPr>
  </w:style>
  <w:style w:type="paragraph" w:styleId="Textkrper">
    <w:name w:val="Body Text"/>
    <w:basedOn w:val="Standard"/>
    <w:link w:val="TextkrperZchn"/>
    <w:uiPriority w:val="99"/>
    <w:semiHidden/>
    <w:unhideWhenUsed/>
    <w:rsid w:val="00A612E4"/>
    <w:pPr>
      <w:contextualSpacing/>
    </w:pPr>
  </w:style>
  <w:style w:type="character" w:customStyle="1" w:styleId="TextkrperZchn">
    <w:name w:val="Textkörper Zchn"/>
    <w:basedOn w:val="Absatz-Standardschriftart"/>
    <w:link w:val="Textkrper"/>
    <w:uiPriority w:val="99"/>
    <w:semiHidden/>
    <w:rsid w:val="00A612E4"/>
    <w:rPr>
      <w:rFonts w:ascii="Arial" w:hAnsi="Arial"/>
      <w:sz w:val="20"/>
    </w:rPr>
  </w:style>
  <w:style w:type="paragraph" w:styleId="Aufzhlungszeichen">
    <w:name w:val="List Bullet"/>
    <w:basedOn w:val="Standard"/>
    <w:uiPriority w:val="99"/>
    <w:semiHidden/>
    <w:unhideWhenUsed/>
    <w:rsid w:val="005C3C88"/>
    <w:pPr>
      <w:numPr>
        <w:numId w:val="7"/>
      </w:numPr>
      <w:tabs>
        <w:tab w:val="left" w:pos="284"/>
        <w:tab w:val="left" w:pos="567"/>
      </w:tabs>
      <w:ind w:left="357" w:hanging="357"/>
      <w:contextualSpacing/>
    </w:pPr>
  </w:style>
  <w:style w:type="paragraph" w:styleId="Aufzhlungszeichen2">
    <w:name w:val="List Bullet 2"/>
    <w:basedOn w:val="Standard"/>
    <w:uiPriority w:val="99"/>
    <w:semiHidden/>
    <w:unhideWhenUsed/>
    <w:rsid w:val="00273545"/>
    <w:pPr>
      <w:numPr>
        <w:numId w:val="8"/>
      </w:numPr>
      <w:tabs>
        <w:tab w:val="left" w:pos="567"/>
      </w:tabs>
      <w:ind w:left="568" w:hanging="284"/>
      <w:contextualSpacing/>
    </w:pPr>
  </w:style>
  <w:style w:type="paragraph" w:styleId="Aufzhlungszeichen3">
    <w:name w:val="List Bullet 3"/>
    <w:basedOn w:val="Standard"/>
    <w:uiPriority w:val="99"/>
    <w:semiHidden/>
    <w:unhideWhenUsed/>
    <w:rsid w:val="00273545"/>
    <w:pPr>
      <w:numPr>
        <w:numId w:val="9"/>
      </w:numPr>
      <w:tabs>
        <w:tab w:val="left" w:pos="851"/>
      </w:tabs>
      <w:ind w:left="851" w:hanging="284"/>
      <w:contextualSpacing/>
    </w:pPr>
  </w:style>
  <w:style w:type="paragraph" w:styleId="Aufzhlungszeichen4">
    <w:name w:val="List Bullet 4"/>
    <w:basedOn w:val="Standard"/>
    <w:uiPriority w:val="99"/>
    <w:semiHidden/>
    <w:unhideWhenUsed/>
    <w:rsid w:val="00273545"/>
    <w:pPr>
      <w:numPr>
        <w:numId w:val="10"/>
      </w:numPr>
      <w:tabs>
        <w:tab w:val="left" w:pos="1134"/>
      </w:tabs>
      <w:ind w:left="1135" w:hanging="284"/>
      <w:contextualSpacing/>
    </w:pPr>
  </w:style>
  <w:style w:type="paragraph" w:styleId="Aufzhlungszeichen5">
    <w:name w:val="List Bullet 5"/>
    <w:basedOn w:val="Standard"/>
    <w:uiPriority w:val="99"/>
    <w:semiHidden/>
    <w:unhideWhenUsed/>
    <w:rsid w:val="00273545"/>
    <w:pPr>
      <w:numPr>
        <w:numId w:val="11"/>
      </w:numPr>
      <w:tabs>
        <w:tab w:val="left" w:pos="1418"/>
      </w:tabs>
      <w:ind w:left="1418" w:hanging="284"/>
      <w:contextualSpacing/>
    </w:pPr>
  </w:style>
  <w:style w:type="paragraph" w:styleId="Beschriftung">
    <w:name w:val="caption"/>
    <w:basedOn w:val="Standard"/>
    <w:next w:val="Standard"/>
    <w:uiPriority w:val="35"/>
    <w:semiHidden/>
    <w:unhideWhenUsed/>
    <w:rsid w:val="00A658BE"/>
    <w:pPr>
      <w:spacing w:before="200"/>
      <w:contextualSpacing/>
    </w:pPr>
    <w:rPr>
      <w:bCs/>
      <w:i/>
      <w:sz w:val="18"/>
      <w:szCs w:val="18"/>
    </w:rPr>
  </w:style>
  <w:style w:type="paragraph" w:styleId="Blocktext">
    <w:name w:val="Block Text"/>
    <w:basedOn w:val="Standard"/>
    <w:uiPriority w:val="99"/>
    <w:semiHidden/>
    <w:unhideWhenUsed/>
    <w:rsid w:val="00A658BE"/>
    <w:pPr>
      <w:pBdr>
        <w:top w:val="single" w:sz="2" w:space="10" w:color="00B050" w:themeColor="accent1" w:frame="1"/>
        <w:left w:val="single" w:sz="2" w:space="10" w:color="00B050" w:themeColor="accent1" w:frame="1"/>
        <w:bottom w:val="single" w:sz="2" w:space="10" w:color="00B050" w:themeColor="accent1" w:frame="1"/>
        <w:right w:val="single" w:sz="2" w:space="10" w:color="00B050" w:themeColor="accent1" w:frame="1"/>
      </w:pBdr>
      <w:ind w:left="1134" w:right="1134"/>
      <w:contextualSpacing/>
    </w:pPr>
    <w:rPr>
      <w:rFonts w:eastAsiaTheme="minorEastAsia"/>
      <w:i/>
      <w:iCs/>
    </w:rPr>
  </w:style>
  <w:style w:type="paragraph" w:styleId="Dokumentstruktur">
    <w:name w:val="Document Map"/>
    <w:basedOn w:val="Standard"/>
    <w:link w:val="DokumentstrukturZchn"/>
    <w:uiPriority w:val="99"/>
    <w:semiHidden/>
    <w:unhideWhenUsed/>
    <w:rsid w:val="005C3C88"/>
    <w:pPr>
      <w:spacing w:after="0"/>
    </w:pPr>
    <w:rPr>
      <w:rFonts w:cs="Tahoma"/>
      <w:sz w:val="16"/>
      <w:szCs w:val="16"/>
    </w:rPr>
  </w:style>
  <w:style w:type="character" w:customStyle="1" w:styleId="DokumentstrukturZchn">
    <w:name w:val="Dokumentstruktur Zchn"/>
    <w:basedOn w:val="Absatz-Standardschriftart"/>
    <w:link w:val="Dokumentstruktur"/>
    <w:uiPriority w:val="99"/>
    <w:semiHidden/>
    <w:rsid w:val="005C3C88"/>
    <w:rPr>
      <w:rFonts w:ascii="Arial" w:hAnsi="Arial" w:cs="Tahoma"/>
      <w:sz w:val="16"/>
      <w:szCs w:val="16"/>
    </w:rPr>
  </w:style>
  <w:style w:type="paragraph" w:styleId="E-Mail-Signatur">
    <w:name w:val="E-mail Signature"/>
    <w:basedOn w:val="Standard"/>
    <w:link w:val="E-Mail-SignaturZchn"/>
    <w:uiPriority w:val="99"/>
    <w:semiHidden/>
    <w:unhideWhenUsed/>
    <w:rsid w:val="005C3C88"/>
    <w:pPr>
      <w:spacing w:after="0"/>
    </w:pPr>
  </w:style>
  <w:style w:type="character" w:customStyle="1" w:styleId="E-Mail-SignaturZchn">
    <w:name w:val="E-Mail-Signatur Zchn"/>
    <w:basedOn w:val="Absatz-Standardschriftart"/>
    <w:link w:val="E-Mail-Signatur"/>
    <w:uiPriority w:val="99"/>
    <w:semiHidden/>
    <w:rsid w:val="005C3C88"/>
    <w:rPr>
      <w:rFonts w:ascii="Arial" w:hAnsi="Arial"/>
      <w:sz w:val="20"/>
    </w:rPr>
  </w:style>
  <w:style w:type="paragraph" w:styleId="Fu-Endnotenberschrift">
    <w:name w:val="Note Heading"/>
    <w:basedOn w:val="Standard"/>
    <w:next w:val="Standard"/>
    <w:link w:val="Fu-EndnotenberschriftZchn"/>
    <w:uiPriority w:val="99"/>
    <w:semiHidden/>
    <w:unhideWhenUsed/>
    <w:rsid w:val="005C3C88"/>
    <w:pPr>
      <w:contextualSpacing/>
    </w:pPr>
  </w:style>
  <w:style w:type="character" w:customStyle="1" w:styleId="Fu-EndnotenberschriftZchn">
    <w:name w:val="Fuß/-Endnotenüberschrift Zchn"/>
    <w:basedOn w:val="Absatz-Standardschriftart"/>
    <w:link w:val="Fu-Endnotenberschrift"/>
    <w:uiPriority w:val="99"/>
    <w:semiHidden/>
    <w:rsid w:val="005C3C88"/>
    <w:rPr>
      <w:rFonts w:ascii="Arial" w:hAnsi="Arial"/>
      <w:sz w:val="20"/>
    </w:rPr>
  </w:style>
  <w:style w:type="paragraph" w:styleId="Gruformel">
    <w:name w:val="Closing"/>
    <w:basedOn w:val="Standard"/>
    <w:link w:val="GruformelZchn"/>
    <w:uiPriority w:val="99"/>
    <w:semiHidden/>
    <w:unhideWhenUsed/>
    <w:rsid w:val="00357FC1"/>
    <w:pPr>
      <w:spacing w:after="0"/>
    </w:pPr>
  </w:style>
  <w:style w:type="character" w:customStyle="1" w:styleId="GruformelZchn">
    <w:name w:val="Grußformel Zchn"/>
    <w:basedOn w:val="Absatz-Standardschriftart"/>
    <w:link w:val="Gruformel"/>
    <w:uiPriority w:val="99"/>
    <w:semiHidden/>
    <w:rsid w:val="00357FC1"/>
    <w:rPr>
      <w:rFonts w:ascii="Arial" w:hAnsi="Arial"/>
      <w:sz w:val="20"/>
    </w:rPr>
  </w:style>
  <w:style w:type="character" w:styleId="Hervorhebung">
    <w:name w:val="Emphasis"/>
    <w:basedOn w:val="Absatz-Standardschriftart"/>
    <w:uiPriority w:val="20"/>
    <w:qFormat/>
    <w:rsid w:val="00357FC1"/>
    <w:rPr>
      <w:i/>
      <w:iCs/>
    </w:rPr>
  </w:style>
  <w:style w:type="paragraph" w:styleId="Inhaltsverzeichnisberschrift">
    <w:name w:val="TOC Heading"/>
    <w:basedOn w:val="berschrift1"/>
    <w:next w:val="Standard"/>
    <w:uiPriority w:val="39"/>
    <w:semiHidden/>
    <w:unhideWhenUsed/>
    <w:qFormat/>
    <w:rsid w:val="00357FC1"/>
    <w:pPr>
      <w:numPr>
        <w:numId w:val="0"/>
      </w:numPr>
      <w:tabs>
        <w:tab w:val="clear" w:pos="1134"/>
      </w:tabs>
      <w:spacing w:before="0" w:after="200"/>
    </w:pPr>
    <w:rPr>
      <w:b/>
      <w:bCs/>
      <w:color w:val="auto"/>
      <w:szCs w:val="28"/>
    </w:rPr>
  </w:style>
  <w:style w:type="paragraph" w:styleId="KeinLeerraum">
    <w:name w:val="No Spacing"/>
    <w:uiPriority w:val="1"/>
    <w:rsid w:val="00357FC1"/>
    <w:pPr>
      <w:spacing w:after="0"/>
      <w:ind w:left="0" w:firstLine="0"/>
    </w:pPr>
    <w:rPr>
      <w:rFonts w:ascii="Arial" w:hAnsi="Arial"/>
      <w:sz w:val="20"/>
    </w:rPr>
  </w:style>
  <w:style w:type="paragraph" w:styleId="Kommentartext">
    <w:name w:val="annotation text"/>
    <w:basedOn w:val="Standard"/>
    <w:link w:val="KommentartextZchn"/>
    <w:uiPriority w:val="99"/>
    <w:semiHidden/>
    <w:unhideWhenUsed/>
    <w:rsid w:val="00357FC1"/>
    <w:rPr>
      <w:szCs w:val="20"/>
    </w:rPr>
  </w:style>
  <w:style w:type="character" w:customStyle="1" w:styleId="KommentartextZchn">
    <w:name w:val="Kommentartext Zchn"/>
    <w:basedOn w:val="Absatz-Standardschriftart"/>
    <w:link w:val="Kommentartext"/>
    <w:uiPriority w:val="99"/>
    <w:semiHidden/>
    <w:rsid w:val="00357FC1"/>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357FC1"/>
    <w:rPr>
      <w:b/>
      <w:bCs/>
    </w:rPr>
  </w:style>
  <w:style w:type="character" w:customStyle="1" w:styleId="KommentarthemaZchn">
    <w:name w:val="Kommentarthema Zchn"/>
    <w:basedOn w:val="KommentartextZchn"/>
    <w:link w:val="Kommentarthema"/>
    <w:uiPriority w:val="99"/>
    <w:semiHidden/>
    <w:rsid w:val="00357FC1"/>
    <w:rPr>
      <w:rFonts w:ascii="Arial" w:hAnsi="Arial"/>
      <w:b/>
      <w:bCs/>
      <w:sz w:val="20"/>
      <w:szCs w:val="20"/>
    </w:rPr>
  </w:style>
  <w:style w:type="paragraph" w:styleId="Listenfortsetzung">
    <w:name w:val="List Continue"/>
    <w:basedOn w:val="Standard"/>
    <w:uiPriority w:val="99"/>
    <w:unhideWhenUsed/>
    <w:qFormat/>
    <w:rsid w:val="00B775FE"/>
    <w:pPr>
      <w:ind w:left="284"/>
      <w:contextualSpacing/>
    </w:pPr>
  </w:style>
  <w:style w:type="paragraph" w:styleId="Listenfortsetzung2">
    <w:name w:val="List Continue 2"/>
    <w:basedOn w:val="Standard"/>
    <w:uiPriority w:val="99"/>
    <w:unhideWhenUsed/>
    <w:rsid w:val="00B775FE"/>
    <w:pPr>
      <w:ind w:left="567"/>
      <w:contextualSpacing/>
    </w:pPr>
  </w:style>
  <w:style w:type="paragraph" w:styleId="Listenfortsetzung3">
    <w:name w:val="List Continue 3"/>
    <w:basedOn w:val="Standard"/>
    <w:uiPriority w:val="99"/>
    <w:unhideWhenUsed/>
    <w:rsid w:val="00B775FE"/>
    <w:pPr>
      <w:ind w:left="851"/>
      <w:contextualSpacing/>
    </w:pPr>
  </w:style>
  <w:style w:type="paragraph" w:styleId="Listenfortsetzung4">
    <w:name w:val="List Continue 4"/>
    <w:basedOn w:val="Standard"/>
    <w:uiPriority w:val="99"/>
    <w:unhideWhenUsed/>
    <w:rsid w:val="00B775FE"/>
    <w:pPr>
      <w:ind w:left="1134"/>
      <w:contextualSpacing/>
    </w:pPr>
  </w:style>
  <w:style w:type="paragraph" w:styleId="Listenfortsetzung5">
    <w:name w:val="List Continue 5"/>
    <w:basedOn w:val="Standard"/>
    <w:uiPriority w:val="99"/>
    <w:unhideWhenUsed/>
    <w:rsid w:val="00B775FE"/>
    <w:pPr>
      <w:ind w:left="1418"/>
      <w:contextualSpacing/>
    </w:pPr>
  </w:style>
  <w:style w:type="paragraph" w:styleId="Listennummer">
    <w:name w:val="List Number"/>
    <w:basedOn w:val="Standard"/>
    <w:uiPriority w:val="99"/>
    <w:unhideWhenUsed/>
    <w:qFormat/>
    <w:rsid w:val="00B775FE"/>
    <w:pPr>
      <w:numPr>
        <w:numId w:val="26"/>
      </w:numPr>
      <w:tabs>
        <w:tab w:val="left" w:pos="360"/>
      </w:tabs>
      <w:contextualSpacing/>
    </w:pPr>
  </w:style>
  <w:style w:type="paragraph" w:styleId="Listennummer2">
    <w:name w:val="List Number 2"/>
    <w:basedOn w:val="Standard"/>
    <w:uiPriority w:val="99"/>
    <w:semiHidden/>
    <w:unhideWhenUsed/>
    <w:rsid w:val="00B775FE"/>
    <w:pPr>
      <w:numPr>
        <w:ilvl w:val="1"/>
        <w:numId w:val="26"/>
      </w:numPr>
      <w:tabs>
        <w:tab w:val="left" w:pos="720"/>
      </w:tabs>
      <w:contextualSpacing/>
    </w:pPr>
  </w:style>
  <w:style w:type="paragraph" w:styleId="Listennummer3">
    <w:name w:val="List Number 3"/>
    <w:basedOn w:val="Standard"/>
    <w:uiPriority w:val="99"/>
    <w:semiHidden/>
    <w:unhideWhenUsed/>
    <w:rsid w:val="00B775FE"/>
    <w:pPr>
      <w:numPr>
        <w:ilvl w:val="2"/>
        <w:numId w:val="26"/>
      </w:numPr>
      <w:tabs>
        <w:tab w:val="left" w:pos="1080"/>
      </w:tabs>
      <w:contextualSpacing/>
    </w:pPr>
  </w:style>
  <w:style w:type="paragraph" w:styleId="Listennummer4">
    <w:name w:val="List Number 4"/>
    <w:basedOn w:val="Standard"/>
    <w:uiPriority w:val="99"/>
    <w:semiHidden/>
    <w:unhideWhenUsed/>
    <w:rsid w:val="00B775FE"/>
    <w:pPr>
      <w:numPr>
        <w:ilvl w:val="3"/>
        <w:numId w:val="26"/>
      </w:numPr>
      <w:tabs>
        <w:tab w:val="left" w:pos="1440"/>
      </w:tabs>
      <w:contextualSpacing/>
    </w:pPr>
  </w:style>
  <w:style w:type="paragraph" w:styleId="Listennummer5">
    <w:name w:val="List Number 5"/>
    <w:basedOn w:val="Standard"/>
    <w:uiPriority w:val="99"/>
    <w:semiHidden/>
    <w:unhideWhenUsed/>
    <w:rsid w:val="00B775FE"/>
    <w:pPr>
      <w:numPr>
        <w:ilvl w:val="4"/>
        <w:numId w:val="26"/>
      </w:numPr>
      <w:tabs>
        <w:tab w:val="left" w:pos="1800"/>
      </w:tabs>
      <w:contextualSpacing/>
    </w:pPr>
  </w:style>
  <w:style w:type="paragraph" w:styleId="NurText">
    <w:name w:val="Plain Text"/>
    <w:basedOn w:val="Standard"/>
    <w:link w:val="NurTextZchn"/>
    <w:uiPriority w:val="99"/>
    <w:semiHidden/>
    <w:unhideWhenUsed/>
    <w:rsid w:val="00A612E4"/>
    <w:pPr>
      <w:spacing w:after="0"/>
    </w:pPr>
    <w:rPr>
      <w:rFonts w:ascii="Consolas" w:hAnsi="Consolas" w:cs="Consolas"/>
      <w:sz w:val="21"/>
      <w:szCs w:val="21"/>
    </w:rPr>
  </w:style>
  <w:style w:type="character" w:customStyle="1" w:styleId="NurTextZchn">
    <w:name w:val="Nur Text Zchn"/>
    <w:basedOn w:val="Absatz-Standardschriftart"/>
    <w:link w:val="NurText"/>
    <w:uiPriority w:val="99"/>
    <w:semiHidden/>
    <w:rsid w:val="00A612E4"/>
    <w:rPr>
      <w:rFonts w:ascii="Consolas" w:hAnsi="Consolas" w:cs="Consolas"/>
      <w:sz w:val="21"/>
      <w:szCs w:val="21"/>
    </w:rPr>
  </w:style>
  <w:style w:type="paragraph" w:styleId="Nachrichtenkopf">
    <w:name w:val="Message Header"/>
    <w:basedOn w:val="Standard"/>
    <w:link w:val="NachrichtenkopfZchn"/>
    <w:uiPriority w:val="99"/>
    <w:semiHidden/>
    <w:unhideWhenUsed/>
    <w:rsid w:val="00A612E4"/>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612E4"/>
    <w:rPr>
      <w:rFonts w:eastAsiaTheme="majorEastAsia" w:cstheme="majorBidi"/>
      <w:sz w:val="24"/>
      <w:szCs w:val="24"/>
      <w:shd w:val="pct20" w:color="auto" w:fill="auto"/>
    </w:rPr>
  </w:style>
  <w:style w:type="character" w:styleId="Platzhaltertext">
    <w:name w:val="Placeholder Text"/>
    <w:basedOn w:val="Absatz-Standardschriftart"/>
    <w:uiPriority w:val="99"/>
    <w:semiHidden/>
    <w:rsid w:val="00A612E4"/>
    <w:rPr>
      <w:color w:val="808080"/>
    </w:rPr>
  </w:style>
  <w:style w:type="paragraph" w:styleId="Rechtsgrundlagenverzeichnis">
    <w:name w:val="table of authorities"/>
    <w:basedOn w:val="Standard"/>
    <w:next w:val="Standard"/>
    <w:uiPriority w:val="99"/>
    <w:semiHidden/>
    <w:unhideWhenUsed/>
    <w:rsid w:val="00A612E4"/>
    <w:pPr>
      <w:spacing w:before="200"/>
      <w:ind w:left="198" w:hanging="198"/>
    </w:pPr>
  </w:style>
  <w:style w:type="paragraph" w:styleId="RGV-berschrift">
    <w:name w:val="toa heading"/>
    <w:basedOn w:val="Standard"/>
    <w:next w:val="Standard"/>
    <w:uiPriority w:val="99"/>
    <w:semiHidden/>
    <w:unhideWhenUsed/>
    <w:rsid w:val="00A612E4"/>
    <w:pPr>
      <w:spacing w:before="120"/>
    </w:pPr>
    <w:rPr>
      <w:rFonts w:asciiTheme="majorHAnsi" w:eastAsiaTheme="majorEastAsia" w:hAnsiTheme="majorHAnsi" w:cstheme="majorBidi"/>
      <w:b/>
      <w:bCs/>
      <w:sz w:val="24"/>
      <w:szCs w:val="24"/>
    </w:rPr>
  </w:style>
  <w:style w:type="character" w:styleId="Seitenzahl">
    <w:name w:val="page number"/>
    <w:basedOn w:val="Absatz-Standardschriftart"/>
    <w:uiPriority w:val="99"/>
    <w:semiHidden/>
    <w:unhideWhenUsed/>
    <w:rsid w:val="00A612E4"/>
  </w:style>
  <w:style w:type="paragraph" w:styleId="Textkrper2">
    <w:name w:val="Body Text 2"/>
    <w:basedOn w:val="Standard"/>
    <w:link w:val="Textkrper2Zchn"/>
    <w:uiPriority w:val="99"/>
    <w:semiHidden/>
    <w:unhideWhenUsed/>
    <w:rsid w:val="00A612E4"/>
    <w:pPr>
      <w:spacing w:line="480" w:lineRule="auto"/>
      <w:contextualSpacing/>
    </w:pPr>
  </w:style>
  <w:style w:type="character" w:customStyle="1" w:styleId="Textkrper2Zchn">
    <w:name w:val="Textkörper 2 Zchn"/>
    <w:basedOn w:val="Absatz-Standardschriftart"/>
    <w:link w:val="Textkrper2"/>
    <w:uiPriority w:val="99"/>
    <w:semiHidden/>
    <w:rsid w:val="00A612E4"/>
    <w:rPr>
      <w:rFonts w:ascii="Arial" w:hAnsi="Arial"/>
      <w:sz w:val="20"/>
    </w:rPr>
  </w:style>
  <w:style w:type="paragraph" w:styleId="Textkrper3">
    <w:name w:val="Body Text 3"/>
    <w:basedOn w:val="Standard"/>
    <w:link w:val="Textkrper3Zchn"/>
    <w:uiPriority w:val="99"/>
    <w:semiHidden/>
    <w:unhideWhenUsed/>
    <w:rsid w:val="00A612E4"/>
    <w:pPr>
      <w:contextualSpacing/>
    </w:pPr>
    <w:rPr>
      <w:sz w:val="16"/>
      <w:szCs w:val="16"/>
    </w:rPr>
  </w:style>
  <w:style w:type="character" w:customStyle="1" w:styleId="Textkrper3Zchn">
    <w:name w:val="Textkörper 3 Zchn"/>
    <w:basedOn w:val="Absatz-Standardschriftart"/>
    <w:link w:val="Textkrper3"/>
    <w:uiPriority w:val="99"/>
    <w:semiHidden/>
    <w:rsid w:val="00A612E4"/>
    <w:rPr>
      <w:rFonts w:ascii="Arial" w:hAnsi="Arial"/>
      <w:sz w:val="16"/>
      <w:szCs w:val="16"/>
    </w:rPr>
  </w:style>
  <w:style w:type="paragraph" w:styleId="Textkrper-Einzug2">
    <w:name w:val="Body Text Indent 2"/>
    <w:basedOn w:val="Standard"/>
    <w:link w:val="Textkrper-Einzug2Zchn"/>
    <w:uiPriority w:val="99"/>
    <w:semiHidden/>
    <w:unhideWhenUsed/>
    <w:rsid w:val="00012F1A"/>
    <w:pPr>
      <w:spacing w:before="60" w:after="60" w:line="480" w:lineRule="auto"/>
      <w:ind w:left="284"/>
      <w:contextualSpacing/>
    </w:pPr>
  </w:style>
  <w:style w:type="character" w:customStyle="1" w:styleId="Textkrper-Einzug2Zchn">
    <w:name w:val="Textkörper-Einzug 2 Zchn"/>
    <w:basedOn w:val="Absatz-Standardschriftart"/>
    <w:link w:val="Textkrper-Einzug2"/>
    <w:uiPriority w:val="99"/>
    <w:semiHidden/>
    <w:rsid w:val="00012F1A"/>
    <w:rPr>
      <w:rFonts w:ascii="Arial" w:hAnsi="Arial"/>
      <w:sz w:val="20"/>
    </w:rPr>
  </w:style>
  <w:style w:type="paragraph" w:styleId="Textkrper-Einzug3">
    <w:name w:val="Body Text Indent 3"/>
    <w:basedOn w:val="Standard"/>
    <w:link w:val="Textkrper-Einzug3Zchn"/>
    <w:uiPriority w:val="99"/>
    <w:semiHidden/>
    <w:unhideWhenUsed/>
    <w:rsid w:val="00012F1A"/>
    <w:pPr>
      <w:ind w:left="284"/>
      <w:contextualSpacing/>
    </w:pPr>
    <w:rPr>
      <w:sz w:val="16"/>
      <w:szCs w:val="16"/>
    </w:rPr>
  </w:style>
  <w:style w:type="character" w:customStyle="1" w:styleId="Textkrper-Einzug3Zchn">
    <w:name w:val="Textkörper-Einzug 3 Zchn"/>
    <w:basedOn w:val="Absatz-Standardschriftart"/>
    <w:link w:val="Textkrper-Einzug3"/>
    <w:uiPriority w:val="99"/>
    <w:semiHidden/>
    <w:rsid w:val="00012F1A"/>
    <w:rPr>
      <w:rFonts w:ascii="Arial" w:hAnsi="Arial"/>
      <w:sz w:val="16"/>
      <w:szCs w:val="16"/>
    </w:rPr>
  </w:style>
  <w:style w:type="paragraph" w:customStyle="1" w:styleId="Zwischenberschrift">
    <w:name w:val="Zwischenüberschrift"/>
    <w:basedOn w:val="Standard"/>
    <w:next w:val="Standard"/>
    <w:qFormat/>
    <w:rsid w:val="00180E25"/>
    <w:pPr>
      <w:keepNext/>
    </w:pPr>
    <w:rPr>
      <w:b/>
      <w:u w:val="single"/>
    </w:rPr>
  </w:style>
  <w:style w:type="character" w:customStyle="1" w:styleId="LegendenzeichenZugelassenJa">
    <w:name w:val="Legendenzeichen Zugelassen Ja"/>
    <w:basedOn w:val="Absatz-Standardschriftart"/>
    <w:uiPriority w:val="1"/>
    <w:qFormat/>
    <w:rsid w:val="0071151D"/>
    <w:rPr>
      <w:b/>
      <w:color w:val="92D050"/>
      <w:u w:color="92D050"/>
    </w:rPr>
  </w:style>
  <w:style w:type="character" w:customStyle="1" w:styleId="LegendenzeichenZugelassenNein">
    <w:name w:val="Legendenzeichen Zugelassen Nein"/>
    <w:basedOn w:val="Absatz-Standardschriftart"/>
    <w:uiPriority w:val="1"/>
    <w:qFormat/>
    <w:rsid w:val="0071151D"/>
    <w:rPr>
      <w:b/>
      <w:color w:val="FF0000" w:themeColor="accent2"/>
    </w:rPr>
  </w:style>
  <w:style w:type="paragraph" w:customStyle="1" w:styleId="InterneInformation">
    <w:name w:val="Interne Information"/>
    <w:basedOn w:val="Standard"/>
    <w:rsid w:val="00083803"/>
    <w:pPr>
      <w:ind w:left="708"/>
    </w:pPr>
    <w:rPr>
      <w:i/>
    </w:rPr>
  </w:style>
  <w:style w:type="character" w:customStyle="1" w:styleId="LegendenzeichenPfeilBlau">
    <w:name w:val="Legendenzeichen Pfeil Blau"/>
    <w:basedOn w:val="Absatz-Standardschriftart"/>
    <w:uiPriority w:val="1"/>
    <w:qFormat/>
    <w:rsid w:val="00E7654A"/>
    <w:rPr>
      <w:b/>
      <w:color w:val="0070C0"/>
    </w:rPr>
  </w:style>
  <w:style w:type="character" w:customStyle="1" w:styleId="LegendenzeichenPfeilGelb">
    <w:name w:val="Legendenzeichen Pfeil Gelb"/>
    <w:basedOn w:val="Absatz-Standardschriftart"/>
    <w:uiPriority w:val="1"/>
    <w:qFormat/>
    <w:rsid w:val="00E7654A"/>
    <w:rPr>
      <w:b/>
      <w:color w:val="FFC000"/>
    </w:rPr>
  </w:style>
  <w:style w:type="paragraph" w:customStyle="1" w:styleId="ZugelassenJa">
    <w:name w:val="Zugelassen Ja"/>
    <w:basedOn w:val="Standard"/>
    <w:next w:val="Standard"/>
    <w:qFormat/>
    <w:rsid w:val="00610813"/>
    <w:pPr>
      <w:spacing w:after="0"/>
      <w:jc w:val="center"/>
    </w:pPr>
    <w:rPr>
      <w:b/>
      <w:color w:val="92D050"/>
      <w:sz w:val="84"/>
    </w:rPr>
  </w:style>
  <w:style w:type="paragraph" w:customStyle="1" w:styleId="ZugelassenNein">
    <w:name w:val="Zugelassen Nein"/>
    <w:basedOn w:val="Standard"/>
    <w:next w:val="Standard"/>
    <w:qFormat/>
    <w:rsid w:val="00610813"/>
    <w:pPr>
      <w:spacing w:after="0"/>
      <w:jc w:val="center"/>
    </w:pPr>
    <w:rPr>
      <w:b/>
      <w:color w:val="FF0000"/>
      <w:sz w:val="84"/>
    </w:rPr>
  </w:style>
  <w:style w:type="character" w:customStyle="1" w:styleId="LegendenzeichenPfeilSchwarz">
    <w:name w:val="Legendenzeichen Pfeil Schwarz"/>
    <w:basedOn w:val="Absatz-Standardschriftart"/>
    <w:uiPriority w:val="1"/>
    <w:qFormat/>
    <w:rsid w:val="00102CD8"/>
    <w:rPr>
      <w:b/>
    </w:rPr>
  </w:style>
  <w:style w:type="character" w:customStyle="1" w:styleId="LegendenzeichengestrPfeilBlau">
    <w:name w:val="Legendenzeichen gestr.Pfeil Blau"/>
    <w:basedOn w:val="Absatz-Standardschriftart"/>
    <w:uiPriority w:val="1"/>
    <w:qFormat/>
    <w:rsid w:val="00102CD8"/>
    <w:rPr>
      <w:b/>
      <w:color w:val="0070C0"/>
    </w:rPr>
  </w:style>
  <w:style w:type="character" w:customStyle="1" w:styleId="LegendenzeichengestrPfeilGelb">
    <w:name w:val="Legendenzeichen gestr.Pfeil Gelb"/>
    <w:basedOn w:val="LegendenzeichengestrPfeilBlau"/>
    <w:uiPriority w:val="1"/>
    <w:qFormat/>
    <w:rsid w:val="00102CD8"/>
    <w:rPr>
      <w:b/>
      <w:color w:val="FFC000"/>
    </w:rPr>
  </w:style>
  <w:style w:type="character" w:customStyle="1" w:styleId="LegendenzeichengestrPfeilSchwarz">
    <w:name w:val="Legendenzeichen gestr.Pfeil Schwarz"/>
    <w:basedOn w:val="Absatz-Standardschriftart"/>
    <w:uiPriority w:val="1"/>
    <w:qFormat/>
    <w:rsid w:val="00102CD8"/>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333456">
      <w:bodyDiv w:val="1"/>
      <w:marLeft w:val="0"/>
      <w:marRight w:val="0"/>
      <w:marTop w:val="0"/>
      <w:marBottom w:val="0"/>
      <w:divBdr>
        <w:top w:val="none" w:sz="0" w:space="0" w:color="auto"/>
        <w:left w:val="none" w:sz="0" w:space="0" w:color="auto"/>
        <w:bottom w:val="none" w:sz="0" w:space="0" w:color="auto"/>
        <w:right w:val="none" w:sz="0" w:space="0" w:color="auto"/>
      </w:divBdr>
    </w:div>
    <w:div w:id="94098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
<pr:Relationships xmlns="http://schemas.openxmlformats.org/package/2006/relationship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a="http://schemas.openxmlformats.org/drawingml/2006/main"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r="http://schemas.openxmlformats.org/package/2006/relationships"><pr:Relationship Id="rId8" Type="http://schemas.openxmlformats.org/officeDocument/2006/relationships/header" Target="header1.xml" /><pr:Relationship Id="rId13" Type="http://schemas.openxmlformats.org/officeDocument/2006/relationships/fontTable" Target="fontTable.xml" /><pr:Relationship Id="rId3" Type="http://schemas.openxmlformats.org/officeDocument/2006/relationships/styles" Target="styles.xml" /><pr:Relationship Id="rId7" Type="http://schemas.openxmlformats.org/officeDocument/2006/relationships/endnotes" Target="endnotes.xml" /><pr:Relationship Id="rId12" Type="http://schemas.openxmlformats.org/officeDocument/2006/relationships/footer" Target="footer2.xml" /><pr:Relationship Id="rId2" Type="http://schemas.openxmlformats.org/officeDocument/2006/relationships/numbering" Target="numbering.xml" /><pr:Relationship Id="rId1" Type="http://schemas.openxmlformats.org/officeDocument/2006/relationships/customXml" Target="../customXml/item1.xml" /><pr:Relationship Id="rId6" Type="http://schemas.openxmlformats.org/officeDocument/2006/relationships/footnotes" Target="footnotes.xml" /><pr:Relationship Id="rId11" Type="http://schemas.openxmlformats.org/officeDocument/2006/relationships/header" Target="header3.xml" /><pr:Relationship Id="rId5" Type="http://schemas.openxmlformats.org/officeDocument/2006/relationships/webSettings" Target="webSettings.xml" /><pr:Relationship Id="rId10" Type="http://schemas.openxmlformats.org/officeDocument/2006/relationships/footer" Target="footer1.xml" /><pr:Relationship Id="rId4" Type="http://schemas.openxmlformats.org/officeDocument/2006/relationships/settings" Target="settings.xml" /><pr:Relationship Id="rId9" Type="http://schemas.openxmlformats.org/officeDocument/2006/relationships/header" Target="header2.xml" /><pr:Relationship Id="rId14" Type="http://schemas.openxmlformats.org/officeDocument/2006/relationships/theme" Target="theme/theme1.xml" /><pr:Relationship Id="rIdID0ERKAC" Type="http://schemas.openxmlformats.org/officeDocument/2006/relationships/image" Target="media/AAD1.emf" /><pr:Relationship Id="rIdex_ID0EJMAC" Type="http://schemas.openxmlformats.org/officeDocument/2006/relationships/hyperlink" Target="https://www.onkopedia.com/resolve-link?guideline_topics=54&amp;uid=360b5551cc1d43b8bb2d9c49e5fe6952&amp;language=de&amp;area=onkopedia&amp;path=onkopedia/de/onkopedia/guidelines/paroxysmale-naechtliche-haemoglobinurie-pnh&amp;document_type=guideline" TargetMode="External" /><pr:Relationship Id="rIdex_ID0EB1AE" Type="http://schemas.openxmlformats.org/officeDocument/2006/relationships/hyperlink" Target="https://www.onkopedia.com/resolve-link?guideline_topics=7&amp;uid=bf4518671b3c499394d46cc225298e9e&amp;language=de&amp;area=onkopedia&amp;path=onkopedia/de/onkopedia/addendums/aplastische-anaemie-medikamentoese-therapie&amp;document_type=protocols&amp;certification_countries" TargetMode="External" /><pr:Relationship Id="rIdex_ID0EH1AE" Type="http://schemas.openxmlformats.org/officeDocument/2006/relationships/hyperlink" Target="https://www.onkopedia.com/resolve-link?guideline_topics=7&amp;uid=ffd27cb8f7a2408184c2ef70ccfe6b25&amp;language=de&amp;area=onkopedia&amp;path=onkopedia/de/onkopedia/addendums/aplastische-anaemie-zulassungsstatus-von-medikamenten&amp;document_type=certifications&amp;certification_countries" TargetMode="External" /><pr:Relationship Id="rIdex_ID0EHDAG" Type="http://schemas.openxmlformats.org/officeDocument/2006/relationships/hyperlink" Target="http://www.ebmt.org/" TargetMode="External" /><pr:Relationship Id="rIdex_ID0E6EAG" Type="http://schemas.openxmlformats.org/officeDocument/2006/relationships/hyperlink" Target="http://dx.doi.org/10.1186/1743-422X-8-87" TargetMode="External" /><pr:Relationship Id="rIdex_ID0EJFAG" Type="http://schemas.openxmlformats.org/officeDocument/2006/relationships/hyperlink" Target="http://dx.doi.org/10.3324/haematol.2010.025619" TargetMode="External" /><pr:Relationship Id="rIdex_ID0EUFAG" Type="http://schemas.openxmlformats.org/officeDocument/2006/relationships/hyperlink" Target="http://dx.doi.org/10.3324/haematol.2011.052787" TargetMode="External" /><pr:Relationship Id="rIdex_ID0EZFAG" Type="http://schemas.openxmlformats.org/officeDocument/2006/relationships/hyperlink" Target="http://dx.doi.org/10.3324/haematol.2011.052787" TargetMode="External" /><pr:Relationship Id="rIdex_ID0E4FAG" Type="http://schemas.openxmlformats.org/officeDocument/2006/relationships/hyperlink" Target="http://dx.doi.org/10.3324/haematol.2011.052787" TargetMode="External" /><pr:Relationship Id="rIdex_ID0EJGAG" Type="http://schemas.openxmlformats.org/officeDocument/2006/relationships/hyperlink" Target="http://www.ncbi.nlm.nih.gov/pubmed?term=8987237" TargetMode="External" /><pr:Relationship Id="rIdex_ID0EUGAG" Type="http://schemas.openxmlformats.org/officeDocument/2006/relationships/hyperlink" Target="http://dx.doi.org/10.1182/asheducation-2011.1.480" TargetMode="External" /><pr:Relationship Id="rIdex_ID0EZGAG" Type="http://schemas.openxmlformats.org/officeDocument/2006/relationships/hyperlink" Target="http://dx.doi.org/10.1182/asheducation-2011.1.480" TargetMode="External" /><pr:Relationship Id="rIdex_ID0EDHAG" Type="http://schemas.openxmlformats.org/officeDocument/2006/relationships/hyperlink" Target="http://dx.doi.org/10.1182/blood.V97.4.895" TargetMode="External" /><pr:Relationship Id="rIdex_ID0EIHAG" Type="http://schemas.openxmlformats.org/officeDocument/2006/relationships/hyperlink" Target="http://dx.doi.org/10.1182/blood.V97.4.895" TargetMode="External" /><pr:Relationship Id="rIdex_ID0ESHAG" Type="http://schemas.openxmlformats.org/officeDocument/2006/relationships/hyperlink" Target="http://dx.doi.org/10.1182/blood-2007-02-075598" TargetMode="External" /><pr:Relationship Id="rIdex_ID0EXHAG" Type="http://schemas.openxmlformats.org/officeDocument/2006/relationships/hyperlink" Target="http://dx.doi.org/10.1182/blood-2007-02-075598" TargetMode="External" /><pr:Relationship Id="rIdex_ID0EBIAG" Type="http://schemas.openxmlformats.org/officeDocument/2006/relationships/hyperlink" Target="http://dx.doi.org/10.1182/blood-2008-07-166421" TargetMode="External" /><pr:Relationship Id="rIdex_ID0EHIAG" Type="http://schemas.openxmlformats.org/officeDocument/2006/relationships/hyperlink" Target="http://dx.doi.org/10.1182/blood-2008-07-166421" TargetMode="External" /><pr:Relationship Id="rIdex_ID0ERIAG" Type="http://schemas.openxmlformats.org/officeDocument/2006/relationships/hyperlink" Target="http://www.hematology.org/Publications/Hematologist/2012/8274.aspx" TargetMode="External" /><pr:Relationship Id="rIdex_ID0EVIAG" Type="http://schemas.openxmlformats.org/officeDocument/2006/relationships/hyperlink" Target="http://www.hematology.org/Publications/Hematologist/2012/8274.aspx" TargetMode="External" /><pr:Relationship Id="rIdex_ID0E6IAG" Type="http://schemas.openxmlformats.org/officeDocument/2006/relationships/hyperlink" Target="http://dx.doi.org/10.3324/haematol.2010.026682" TargetMode="External" /><pr:Relationship Id="rIdex_ID0EFJAG" Type="http://schemas.openxmlformats.org/officeDocument/2006/relationships/hyperlink" Target="http://dx.doi.org/10.3324/haematol.2010.026682" TargetMode="External" /><pr:Relationship Id="rIdex_ID0EPJAG" Type="http://schemas.openxmlformats.org/officeDocument/2006/relationships/hyperlink" Target="http://dx.doi.org/10.1182/asheducation-2010.1.36" TargetMode="External" /><pr:Relationship Id="rIdex_ID0EUJAG" Type="http://schemas.openxmlformats.org/officeDocument/2006/relationships/hyperlink" Target="http://dx.doi.org/10.1182/asheducation-2010.1.36" TargetMode="External" /><pr:Relationship Id="rIdex_ID0EYJAG" Type="http://schemas.openxmlformats.org/officeDocument/2006/relationships/hyperlink" Target="http://dx.doi.org/10.1182/asheducation-2010.1.36" TargetMode="External" /><pr:Relationship Id="rIdex_ID0EDKAG" Type="http://schemas.openxmlformats.org/officeDocument/2006/relationships/hyperlink" Target="http://dx.doi.org/10.1093/cid/ciq245" TargetMode="External" /><pr:Relationship Id="rIdex_ID0EOKAG" Type="http://schemas.openxmlformats.org/officeDocument/2006/relationships/hyperlink" Target="http://dx.doi.org/10.1159/000318893" TargetMode="External" /><pr:Relationship Id="rIdex_ID0EZKAG" Type="http://schemas.openxmlformats.org/officeDocument/2006/relationships/hyperlink" Target="http://dx.doi.org/10.1002/14651858.CD004386.pub3" TargetMode="External" /><pr:Relationship Id="rIdex_ID0E5KAG" Type="http://schemas.openxmlformats.org/officeDocument/2006/relationships/hyperlink" Target="http://dx.doi.org/10.1002/14651858.CD004386.pub3" TargetMode="External" /><pr:Relationship Id="rIdex_ID0EKLAG" Type="http://schemas.openxmlformats.org/officeDocument/2006/relationships/hyperlink" Target="http://dx.doi.org/10.1016/S1473-3099(08)70284-6" TargetMode="External" /><pr:Relationship Id="rIdex_ID0EPLAG" Type="http://schemas.openxmlformats.org/officeDocument/2006/relationships/hyperlink" Target="http://dx.doi.org/10.1016/S1473-3099(08)70284-6" TargetMode="External" /><pr:Relationship Id="rIdex_ID0EZLAG" Type="http://schemas.openxmlformats.org/officeDocument/2006/relationships/hyperlink" Target="http://www.ncbi.nlm.nih.gov/pubmed?term=15968013" TargetMode="External" /><pr:Relationship Id="rIdex_ID0EEMAG" Type="http://schemas.openxmlformats.org/officeDocument/2006/relationships/hyperlink" Target="http://dx.doi.org/10.1093/jac/dkl425" TargetMode="External" /><pr:Relationship Id="rIdex_ID0EJMAG" Type="http://schemas.openxmlformats.org/officeDocument/2006/relationships/hyperlink" Target="http://dx.doi.org/10.1093/jac/dkl425" TargetMode="External" /><pr:Relationship Id="rIdex_ID0ETMAG" Type="http://schemas.openxmlformats.org/officeDocument/2006/relationships/hyperlink" Target="http://www.ncbi.nlm.nih.gov/pubmed?term=17642395" TargetMode="External" /><pr:Relationship Id="rIdex_ID0EYMAG" Type="http://schemas.openxmlformats.org/officeDocument/2006/relationships/hyperlink" Target="http://www.ncbi.nlm.nih.gov/pubmed?term=17642395" TargetMode="External" /><pr:Relationship Id="rIdex_ID0ECNAG" Type="http://schemas.openxmlformats.org/officeDocument/2006/relationships/hyperlink" Target="http://dx.doi.org/10.1002/cncr.22205" TargetMode="External" /><pr:Relationship Id="rIdex_ID0EMNAG" Type="http://schemas.openxmlformats.org/officeDocument/2006/relationships/hyperlink" Target="http://www.ncbi.nlm.nih.gov/pubmed?term=2644980" TargetMode="External" /><pr:Relationship Id="rIdex_ID0EXNAG" Type="http://schemas.openxmlformats.org/officeDocument/2006/relationships/hyperlink" Target="http://www.ncbi.nlm.nih.gov/pubmed?term=16285332" TargetMode="External" /><pr:Relationship Id="rIdex_ID0ECOAG" Type="http://schemas.openxmlformats.org/officeDocument/2006/relationships/hyperlink" Target="http://www.ncbi.nlm.nih.gov/pubmed?term=10091390" TargetMode="External" /><pr:Relationship Id="rIdex_ID0ENOAG" Type="http://schemas.openxmlformats.org/officeDocument/2006/relationships/hyperlink" Target="http://www.ncbi.nlm.nih.gov/pubmed?term=9207422" TargetMode="External" /><pr:Relationship Id="rIdex_ID0EYOAG" Type="http://schemas.openxmlformats.org/officeDocument/2006/relationships/hyperlink" Target="http://dx.doi.org/10.1182/blood-2009-04-214387" TargetMode="External" /><pr:Relationship Id="rIdex_ID0E4OAG" Type="http://schemas.openxmlformats.org/officeDocument/2006/relationships/hyperlink" Target="http://dx.doi.org/10.1182/blood-2009-04-214387" TargetMode="External" /><pr:Relationship Id="rIdex_ID0ERPAG" Type="http://schemas.openxmlformats.org/officeDocument/2006/relationships/hyperlink" Target="http://www.ncbi.nlm.nih.gov/pubmed?term=10216111" TargetMode="External" /><pr:Relationship Id="rIdex_ID0E4PAG" Type="http://schemas.openxmlformats.org/officeDocument/2006/relationships/hyperlink" Target="http://content.karger.com/ProdukteDB/produkte.asp?Aktion=ShowPDF&amp;amp;ArtikelNr=242471&amp;amp;Ausgabe=251862&amp;amp;ProduktNr=224170&amp;amp;filename=242471.pdf" TargetMode="External" /><pr:Relationship Id="rIdex_ID0EBQAG" Type="http://schemas.openxmlformats.org/officeDocument/2006/relationships/hyperlink" Target="http://content.karger.com/ProdukteDB/produkte.asp?Aktion=ShowPDF&amp;amp;ArtikelNr=242471&amp;amp;Ausgabe=251862&amp;amp;ProduktNr=224170&amp;amp;filename=242471.pdf" TargetMode="External" /><pr:Relationship Id="rIdex_ID0ELQAG" Type="http://schemas.openxmlformats.org/officeDocument/2006/relationships/hyperlink" Target="http://dx.doi.org/10.3324/haematol.2009.010231" TargetMode="External" /><pr:Relationship Id="rIdex_ID0EQQAG" Type="http://schemas.openxmlformats.org/officeDocument/2006/relationships/hyperlink" Target="http://dx.doi.org/10.3324/haematol.2009.010231" TargetMode="External" /><pr:Relationship Id="rIdex_ID0EUQAG" Type="http://schemas.openxmlformats.org/officeDocument/2006/relationships/hyperlink" Target="http://dx.doi.org/10.3324/haematol.2009.010231" TargetMode="External" /><pr:Relationship Id="rIdex_ID0E5QAG" Type="http://schemas.openxmlformats.org/officeDocument/2006/relationships/hyperlink" Target="http://dx.doi.org/10.1111/j.1365-2141.2010.08200.x" TargetMode="External" /><pr:Relationship Id="rIdex_ID0ECRAG" Type="http://schemas.openxmlformats.org/officeDocument/2006/relationships/hyperlink" Target="http://dx.doi.org/10.1111/j.1365-2141.2010.08200.x" TargetMode="External" /><pr:Relationship Id="rIdex_ID0EHRAG" Type="http://schemas.openxmlformats.org/officeDocument/2006/relationships/hyperlink" Target="http://dx.doi.org/10.1111/j.1365-2141.2010.08200.x" TargetMode="External" /><pr:Relationship Id="rIdex_ID0ERRAG" Type="http://schemas.openxmlformats.org/officeDocument/2006/relationships/hyperlink" Target="http://www.ncbi.nlm.nih.gov/pubmed?term=8108879" TargetMode="External" /><pr:Relationship Id="rIdex_ID0EXRAG" Type="http://schemas.openxmlformats.org/officeDocument/2006/relationships/hyperlink" Target="http://www.ncbi.nlm.nih.gov/pubmed?term=8108879" TargetMode="External" /><pr:Relationship Id="rIdex_ID0EBSAG" Type="http://schemas.openxmlformats.org/officeDocument/2006/relationships/hyperlink" Target="http://dx.doi.org/10.1182/blood-2006-10-054924" TargetMode="External" /><pr:Relationship Id="rIdex_ID0EGSAG" Type="http://schemas.openxmlformats.org/officeDocument/2006/relationships/hyperlink" Target="http://dx.doi.org/10.1182/blood-2006-10-054924" TargetMode="External" /><pr:Relationship Id="rIdex_ID0EKSAG" Type="http://schemas.openxmlformats.org/officeDocument/2006/relationships/hyperlink" Target="http://dx.doi.org/10.1182/blood-2006-10-054924" TargetMode="External" /><pr:Relationship Id="rIdex_ID0EUSAG" Type="http://schemas.openxmlformats.org/officeDocument/2006/relationships/hyperlink" Target="http://dx.doi.org/10.1038/bmt.2008.262" TargetMode="External" /><pr:Relationship Id="rIdex_ID0EZSAG" Type="http://schemas.openxmlformats.org/officeDocument/2006/relationships/hyperlink" Target="http://dx.doi.org/10.1038/bmt.2008.262" TargetMode="External" /><pr:Relationship Id="rIdex_ID0EDTAG" Type="http://schemas.openxmlformats.org/officeDocument/2006/relationships/hyperlink" Target="http://dx.doi.org/10.3324/haematol.2009.017244" TargetMode="External" /><pr:Relationship Id="rIdex_ID0EITAG" Type="http://schemas.openxmlformats.org/officeDocument/2006/relationships/hyperlink" Target="http://dx.doi.org/10.3324/haematol.2009.017244" TargetMode="External" /><pr:Relationship Id="rIdex_ID0ESTAG" Type="http://schemas.openxmlformats.org/officeDocument/2006/relationships/hyperlink" Target="http://www.ncbi.nlm.nih.gov/pubmed?term=19863335" TargetMode="External" /><pr:Relationship Id="rIdex_ID0E4TAG" Type="http://schemas.openxmlformats.org/officeDocument/2006/relationships/hyperlink" Target="http://dx.doi.org/10.1182/blood-2010-01-261289" TargetMode="External" /><pr:Relationship Id="rIdex_ID0ECUAG" Type="http://schemas.openxmlformats.org/officeDocument/2006/relationships/hyperlink" Target="http://dx.doi.org/10.1182/blood-2010-01-261289" TargetMode="External" /><pr:Relationship Id="rIdex_ID0EGUAG" Type="http://schemas.openxmlformats.org/officeDocument/2006/relationships/hyperlink" Target="http://dx.doi.org/10.1182/blood-2010-01-261289" TargetMode="External" /><pr:Relationship Id="rIdex_ID0EQUAG" Type="http://schemas.openxmlformats.org/officeDocument/2006/relationships/hyperlink" Target="http://dx.doi.org/10.1111/j.1365-2141.2009.07842.x" TargetMode="External" /><pr:Relationship Id="rIdex_ID0EWUAG" Type="http://schemas.openxmlformats.org/officeDocument/2006/relationships/hyperlink" Target="http://dx.doi.org/10.1111/j.1365-2141.2009.07842.x" TargetMode="External" /><pr:Relationship Id="rIdex_ID0EFVAG" Type="http://schemas.openxmlformats.org/officeDocument/2006/relationships/hyperlink" Target="http://dx.doi.org/10.1182/blood-2007-03-081596" TargetMode="External" /><pr:Relationship Id="rIdex_ID0EKVAG" Type="http://schemas.openxmlformats.org/officeDocument/2006/relationships/hyperlink" Target="http://dx.doi.org/10.1182/blood-2007-03-081596" TargetMode="External" /><pr:Relationship Id="rIdex_ID0EOVAG" Type="http://schemas.openxmlformats.org/officeDocument/2006/relationships/hyperlink" Target="http://dx.doi.org/10.1182/blood-2007-03-081596" TargetMode="External" /><pr:Relationship Id="rIdex_ID0EYVAG" Type="http://schemas.openxmlformats.org/officeDocument/2006/relationships/hyperlink" Target="http://dx.doi.org/10.3324/haematol.2011.054841" TargetMode="External" /><pr:Relationship Id="rIdex_ID0ECWAG" Type="http://schemas.openxmlformats.org/officeDocument/2006/relationships/hyperlink" Target="http://dx.doi.org/10.1182/blood-2006-10-052308" TargetMode="External" /><pr:Relationship Id="rIdex_ID0EHWAG" Type="http://schemas.openxmlformats.org/officeDocument/2006/relationships/hyperlink" Target="http://dx.doi.org/10.1182/blood-2006-10-052308" TargetMode="External" /><pr:Relationship Id="rIdex_ID0ELWAG" Type="http://schemas.openxmlformats.org/officeDocument/2006/relationships/hyperlink" Target="http://dx.doi.org/10.1182/blood-2006-10-052308" TargetMode="External" /><pr:Relationship Id="rIdex_ID0EVWAG" Type="http://schemas.openxmlformats.org/officeDocument/2006/relationships/hyperlink" Target="http://dx.doi.org/10.3324/haematol.2009.006916" TargetMode="External" /><pr:Relationship Id="rIdex_ID0E1WAG" Type="http://schemas.openxmlformats.org/officeDocument/2006/relationships/hyperlink" Target="http://dx.doi.org/10.3324/haematol.2009.006916" TargetMode="External" /><pr:Relationship Id="rIdex_ID0E5WAG" Type="http://schemas.openxmlformats.org/officeDocument/2006/relationships/hyperlink" Target="http://dx.doi.org/10.3324/haematol.2009.006916" TargetMode="External" /><pr:Relationship Id="rIdex_ID0EIXAG" Type="http://schemas.openxmlformats.org/officeDocument/2006/relationships/hyperlink" Target="http://dx.doi.org/10.1016/j.bbmt.2004.09.001" TargetMode="External" /><pr:Relationship Id="rIdex_ID0ENXAG" Type="http://schemas.openxmlformats.org/officeDocument/2006/relationships/hyperlink" Target="http://dx.doi.org/10.1016/j.bbmt.2004.09.001" TargetMode="External" /><pr:Relationship Id="rIdex_ID0EXXAG" Type="http://schemas.openxmlformats.org/officeDocument/2006/relationships/hyperlink" Target="http://www.ncbi.nlm.nih.gov/pubmed?term=10961865" TargetMode="External" /><pr:Relationship Id="rIdex_ID0EHYAG" Type="http://schemas.openxmlformats.org/officeDocument/2006/relationships/hyperlink" Target="http://dx.doi.org/10.1038/sj.bmt.1705552" TargetMode="External" /><pr:Relationship Id="rIdex_ID0EMYAG" Type="http://schemas.openxmlformats.org/officeDocument/2006/relationships/hyperlink" Target="http://dx.doi.org/10.1038/sj.bmt.1705552" TargetMode="External" /><pr:Relationship Id="rIdex_ID0EWYAG" Type="http://schemas.openxmlformats.org/officeDocument/2006/relationships/hyperlink" Target="http://dx.doi.org/10.1111/j.1365-2141.2008.07533.x" TargetMode="External" /><pr:Relationship Id="rIdex_ID0E2YAG" Type="http://schemas.openxmlformats.org/officeDocument/2006/relationships/hyperlink" Target="http://dx.doi.org/10.1111/j.1365-2141.2008.07533.x" TargetMode="External" /><pr:Relationship Id="rIdex_ID0EFZAG" Type="http://schemas.openxmlformats.org/officeDocument/2006/relationships/hyperlink" Target="http://dx.doi.org/10.1038/bmt.2008.293" TargetMode="External" /><pr:Relationship Id="rIdex_ID0EKZAG" Type="http://schemas.openxmlformats.org/officeDocument/2006/relationships/hyperlink" Target="http://dx.doi.org/10.1038/bmt.2008.293" TargetMode="External" /><pr:Relationship Id="rIdex_ID0EUZAG" Type="http://schemas.openxmlformats.org/officeDocument/2006/relationships/hyperlink" Target="http://www.ncbi.nlm.nih.gov/pubmed?term=17488681" TargetMode="External" /><pr:Relationship Id="rIdex_ID0E6ZAG" Type="http://schemas.openxmlformats.org/officeDocument/2006/relationships/hyperlink" Target="http://dx.doi.org/10.1038/sj.bmt.1705165" TargetMode="External" /><pr:Relationship Id="rIdex_ID0EE1AG" Type="http://schemas.openxmlformats.org/officeDocument/2006/relationships/hyperlink" Target="http://dx.doi.org/10.1038/sj.bmt.1705165" TargetMode="External" /><pr:Relationship Id="rIdex_ID0EO1AG" Type="http://schemas.openxmlformats.org/officeDocument/2006/relationships/hyperlink" Target="http://dx.doi.org/10.3324/haematol.2009.018267" TargetMode="External" /><pr:Relationship Id="rIdex_ID0ET1AG" Type="http://schemas.openxmlformats.org/officeDocument/2006/relationships/hyperlink" Target="http://dx.doi.org/10.3324/haematol.2009.018267" TargetMode="External" /><pr:Relationship Id="rIdex_ID0E41AG" Type="http://schemas.openxmlformats.org/officeDocument/2006/relationships/hyperlink" Target="http://dx.doi.org/10.1182/blood-2010-12-327536" TargetMode="External" /><pr:Relationship Id="rIdex_ID0EH2AG" Type="http://schemas.openxmlformats.org/officeDocument/2006/relationships/hyperlink" Target="http://www.ncbi.nlm.nih.gov/pubmed?term=11349807" TargetMode="External" /><pr:Relationship Id="rIdex_ID0EN2AG" Type="http://schemas.openxmlformats.org/officeDocument/2006/relationships/hyperlink" Target="http://www.ncbi.nlm.nih.gov/pubmed?term=11349807" TargetMode="External" /><pr:Relationship Id="rIdex_ID0EX2AG" Type="http://schemas.openxmlformats.org/officeDocument/2006/relationships/hyperlink" Target="http://dx.doi.org/10.1182/blood-2006-03-005041" TargetMode="External" /><pr:Relationship Id="rIdex_ID0E32AG" Type="http://schemas.openxmlformats.org/officeDocument/2006/relationships/hyperlink" Target="http://dx.doi.org/10.1182/blood-2006-03-005041" TargetMode="External" /><pr:Relationship Id="rIdex_ID0EG3AG" Type="http://schemas.openxmlformats.org/officeDocument/2006/relationships/hyperlink" Target="http://dx.doi.org/10.1016/j.bbmt.2007.03.013" TargetMode="External" /><pr:Relationship Id="rIdex_ID0EL3AG" Type="http://schemas.openxmlformats.org/officeDocument/2006/relationships/hyperlink" Target="http://dx.doi.org/10.1016/j.bbmt.2007.03.013" TargetMode="External" /><pr:Relationship Id="rIdex_ID0EV3AG" Type="http://schemas.openxmlformats.org/officeDocument/2006/relationships/hyperlink" Target="http://www.ncbi.nlm.nih.gov/pubmed?term=10049197" TargetMode="External" /><pr:Relationship Id="rIdex_ID0E63AG" Type="http://schemas.openxmlformats.org/officeDocument/2006/relationships/hyperlink" Target="http://dx.doi.org/10.1111/j.1365-2141.2008.07389.x" TargetMode="External" /><pr:Relationship Id="rIdex_ID0EE4AG" Type="http://schemas.openxmlformats.org/officeDocument/2006/relationships/hyperlink" Target="http://dx.doi.org/10.1111/j.1365-2141.2008.07389.x" TargetMode="External" /><pr:Relationship Id="rIdex_ID0EI4AG" Type="http://schemas.openxmlformats.org/officeDocument/2006/relationships/hyperlink" Target="http://dx.doi.org/10.1111/j.1365-2141.2008.07389.x" TargetMode="External" /><pr:Relationship Id="rIdex_ID0ES4AG" Type="http://schemas.openxmlformats.org/officeDocument/2006/relationships/hyperlink" Target="http://www.ncbi.nlm.nih.gov/pubmed?term=2017225" TargetMode="External" /><pr:Relationship Id="rIdex_ID0E44AG" Type="http://schemas.openxmlformats.org/officeDocument/2006/relationships/hyperlink" Target="http://dx.doi.org/10.1182/blood-2002-04-1134" TargetMode="External" /><pr:Relationship Id="rIdex_ID0EC5AG" Type="http://schemas.openxmlformats.org/officeDocument/2006/relationships/hyperlink" Target="http://dx.doi.org/10.1182/blood-2002-04-1134" TargetMode="External" /><pr:Relationship Id="rIdex_ID0EM5AG" Type="http://schemas.openxmlformats.org/officeDocument/2006/relationships/hyperlink" Target="http://www.ncbi.nlm.nih.gov/pubmed?term=7756640" TargetMode="External" /><pr:Relationship Id="rIdex_ID0ES5AG" Type="http://schemas.openxmlformats.org/officeDocument/2006/relationships/hyperlink" Target="http://www.ncbi.nlm.nih.gov/pubmed?term=7756640" TargetMode="External" /><pr:Relationship Id="rIdex_ID0E35AG" Type="http://schemas.openxmlformats.org/officeDocument/2006/relationships/hyperlink" Target="http://dx.doi.org/10.1111/j.1365-2141.2006.06085.x" TargetMode="External" /><pr:Relationship Id="rIdex_ID0EB6AG" Type="http://schemas.openxmlformats.org/officeDocument/2006/relationships/hyperlink" Target="http://dx.doi.org/10.1111/j.1365-2141.2006.06085.x" TargetMode="External" /><pr:Relationship Id="rIdex_ID0EL6AG" Type="http://schemas.openxmlformats.org/officeDocument/2006/relationships/hyperlink" Target="http://dx.doi.org/10.3324/haematol.13829" TargetMode="External" /><pr:Relationship Id="rIdex_ID0EQ6AG" Type="http://schemas.openxmlformats.org/officeDocument/2006/relationships/hyperlink" Target="http://dx.doi.org/10.3324/haematol.13829" TargetMode="External" /><pr:Relationship Id="rIdex_ID0E16AG" Type="http://schemas.openxmlformats.org/officeDocument/2006/relationships/hyperlink" Target="http://dx.doi.org/10.1111/j.1365-2141.2008.07450.x" TargetMode="External" /><pr:Relationship Id="rIdex_ID0E66AG" Type="http://schemas.openxmlformats.org/officeDocument/2006/relationships/hyperlink" Target="http://dx.doi.org/10.1111/j.1365-2141.2008.07450.x" TargetMode="External" /><pr:Relationship Id="rIdex_ID0EJABG" Type="http://schemas.openxmlformats.org/officeDocument/2006/relationships/hyperlink" Target="http://www.ncbi.nlm.nih.gov/pubmed?term=8435323" TargetMode="External" /><pr:Relationship Id="rIdex_ID0EUABG" Type="http://schemas.openxmlformats.org/officeDocument/2006/relationships/hyperlink" Target="http://www.ncbi.nlm.nih.gov/pubmed?term=11075769" TargetMode="External" /><pr:Relationship Id="rIdex_ID0E6ABG" Type="http://schemas.openxmlformats.org/officeDocument/2006/relationships/hyperlink" Target="http://dx.doi.org/10.1182/blood-2010-08-304071" TargetMode="External" /><pr:Relationship Id="rIdex_ID0EEBBG" Type="http://schemas.openxmlformats.org/officeDocument/2006/relationships/hyperlink" Target="http://dx.doi.org/10.1182/blood-2010-08-304071" TargetMode="External" /><pr:Relationship Id="rIdex_ID0EIBBG" Type="http://schemas.openxmlformats.org/officeDocument/2006/relationships/hyperlink" Target="http://dx.doi.org/10.1182/blood-2010-08-304071" TargetMode="External" /><pr:Relationship Id="rIdex_ID0ESBBG" Type="http://schemas.openxmlformats.org/officeDocument/2006/relationships/hyperlink" Target="http://www.ncbi.nlm.nih.gov/pubmed?term=10090926" TargetMode="External" /><pr:Relationship Id="rIdex_ID0E4BBG" Type="http://schemas.openxmlformats.org/officeDocument/2006/relationships/hyperlink" Target="http://dx.doi.org/10.1016/S0140-6736(11)60817-9" TargetMode="External" /><pr:Relationship Id="rIdex_ID0ECCBG" Type="http://schemas.openxmlformats.org/officeDocument/2006/relationships/hyperlink" Target="http://dx.doi.org/10.1016/S0140-6736(11)60817-9" TargetMode="External" /><pr:Relationship Id="rIdex_ID0EMCBG" Type="http://schemas.openxmlformats.org/officeDocument/2006/relationships/hyperlink" Target="http://www.ncbi.nlm.nih.gov/pubmed?term=21812672" TargetMode="External" /><pr:Relationship Id="rIdex_ID0EXCBG" Type="http://schemas.openxmlformats.org/officeDocument/2006/relationships/hyperlink" Target="http://dx.doi.org/10.1007/s00277-010-0944-y" TargetMode="External" /><pr:Relationship Id="rIdex_ID0EBDBG" Type="http://schemas.openxmlformats.org/officeDocument/2006/relationships/hyperlink" Target="http://dx.doi.org/10.1111/j.1365-2141.2012.09064.x" TargetMode="External" /><pr:Relationship Id="rIdex_ID0EHDBG" Type="http://schemas.openxmlformats.org/officeDocument/2006/relationships/hyperlink" Target="http://dx.doi.org/10.1111/j.1365-2141.2012.09064.x" TargetMode="External" /><pr:Relationship Id="rIdex_ID0ERDBG" Type="http://schemas.openxmlformats.org/officeDocument/2006/relationships/hyperlink" Target="http://abstracts.hematologylibrary.org/cgi/content/abstract/118/21/3434?maxtoshow&amp;amp;hits=10&amp;amp;RESULTFORMAT&amp;amp;fulltext=h%F6chsmann%2BB&amp;amp;searchid=1&amp;amp;FIRSTINDEX=0&amp;amp;volume=118&amp;amp;issue=21&amp;amp;resourcetype=HWCIT" TargetMode="External" /><pr:Relationship Id="rIdex_ID0EWDBG" Type="http://schemas.openxmlformats.org/officeDocument/2006/relationships/hyperlink" Target="http://abstracts.hematologylibrary.org/cgi/content/abstract/118/21/3434?maxtoshow&amp;amp;hits=10&amp;amp;RESULTFORMAT&amp;amp;fulltext=h%F6chsmann%2BB&amp;amp;searchid=1&amp;amp;FIRSTINDEX=0&amp;amp;volume=118&amp;amp;issue=21&amp;amp;resourcetype=HWCIT" TargetMode="External" /><pr:Relationship Id="rIdex_ID0ELEBG" Type="http://schemas.openxmlformats.org/officeDocument/2006/relationships/hyperlink" Target="http://dx.doi.org/10.3324/haematol.2011.042622" TargetMode="External" /><pr:Relationship Id="rIdex_ID0EQEBG" Type="http://schemas.openxmlformats.org/officeDocument/2006/relationships/hyperlink" Target="http://dx.doi.org/10.3324/haematol.2011.042622" TargetMode="External" /><pr:Relationship Id="rIdex_ID0E1EBG" Type="http://schemas.openxmlformats.org/officeDocument/2006/relationships/hyperlink" Target="http://abstracts.hematologylibrary.org/cgi/content/abstract/114/22/3194?maxtoshow&amp;amp;hits=10&amp;amp;RESULTFORMAT&amp;amp;fulltext=Vallejo&amp;amp;searchid=1&amp;amp;FIRSTINDEX=0&amp;amp;volume=114&amp;amp;issue=22&amp;amp;resourcetype=HWCIT" TargetMode="External" /><pr:Relationship Id="rIdex_ID0E6EBG" Type="http://schemas.openxmlformats.org/officeDocument/2006/relationships/hyperlink" Target="http://abstracts.hematologylibrary.org/cgi/content/abstract/114/22/3194?maxtoshow&amp;amp;hits=10&amp;amp;RESULTFORMAT&amp;amp;fulltext=Vallejo&amp;amp;searchid=1&amp;amp;FIRSTINDEX=0&amp;amp;volume=114&amp;amp;issue=22&amp;amp;resourcetype=HWCIT" TargetMode="External" /><pr:Relationship Id="rIdex_ID0EPFBG" Type="http://schemas.openxmlformats.org/officeDocument/2006/relationships/hyperlink" Target="http://dx.doi.org/10.1111/j.1365-2141.2007.06903.x" TargetMode="External" /><pr:Relationship Id="rIdex_ID0EUFBG" Type="http://schemas.openxmlformats.org/officeDocument/2006/relationships/hyperlink" Target="http://dx.doi.org/10.1111/j.1365-2141.2007.06903.x" TargetMode="External" /><pr:Relationship Id="rIdex_ID0E5FBG" Type="http://schemas.openxmlformats.org/officeDocument/2006/relationships/hyperlink" Target="http://dx.doi.org/10.1182/blood-2006-11-050526" TargetMode="External" /><pr:Relationship Id="rIdex_ID0EDGBG" Type="http://schemas.openxmlformats.org/officeDocument/2006/relationships/hyperlink" Target="http://dx.doi.org/10.1182/blood-2006-11-050526" TargetMode="External" /><pr:Relationship Id="rIdex_ID0ENGBG" Type="http://schemas.openxmlformats.org/officeDocument/2006/relationships/hyperlink" Target="http://dx.doi.org/10.3324/haematol.2008.002170" TargetMode="External" /><pr:Relationship Id="rIdex_ID0ETGBG" Type="http://schemas.openxmlformats.org/officeDocument/2006/relationships/hyperlink" Target="http://dx.doi.org/10.3324/haematol.2008.002170" TargetMode="External" /><pr:Relationship Id="rIdex_ID0E4GBG" Type="http://schemas.openxmlformats.org/officeDocument/2006/relationships/hyperlink" Target="http://www.ncbi.nlm.nih.gov/pubmed?term=10705154" TargetMode="External" /><pr:Relationship Id="rIdex_ID0EIHBG" Type="http://schemas.openxmlformats.org/officeDocument/2006/relationships/hyperlink" Target="http://www.ncbi.nlm.nih.gov/pubmed?term=10676911" TargetMode="External" /><pr:Relationship Id="rIdex_ID0ETHBG" Type="http://schemas.openxmlformats.org/officeDocument/2006/relationships/hyperlink" Target="http://www.ncbi.nlm.nih.gov/pubmed?term=8280610" TargetMode="External" /><pr:Relationship Id="rIdex_ID0E5HBG" Type="http://schemas.openxmlformats.org/officeDocument/2006/relationships/hyperlink" Target="http://www.ncbi.nlm.nih.gov/pubmed?term=12622583" TargetMode="External" /><pr:Relationship Id="rIdex_ID0EEIBG" Type="http://schemas.openxmlformats.org/officeDocument/2006/relationships/hyperlink" Target="http://www.ncbi.nlm.nih.gov/pubmed?term=12622583" TargetMode="External" /><pr:Relationship Id="rIdex_ID0EOIBG" Type="http://schemas.openxmlformats.org/officeDocument/2006/relationships/hyperlink" Target="http://www.ncbi.nlm.nih.gov/pubmed?term=8377778" TargetMode="External" /><pr:Relationship Id="rIdex_ID0EZIBG" Type="http://schemas.openxmlformats.org/officeDocument/2006/relationships/hyperlink" Target="http://dx.doi.org/10.1182/blood-2006-07-034272" TargetMode="External" /><pr:Relationship Id="rIdex_ID0E6IBG" Type="http://schemas.openxmlformats.org/officeDocument/2006/relationships/hyperlink" Target="http://dx.doi.org/10.1182/blood-2006-07-034272" TargetMode="External" /><pr:Relationship Id="rIdex_ID0EJJBG" Type="http://schemas.openxmlformats.org/officeDocument/2006/relationships/hyperlink" Target="http://www.ncbi.nlm.nih.gov/pubmed?term=3044440" TargetMode="External" /><pr:Relationship Id="rIdex_ID0EPJBG" Type="http://schemas.openxmlformats.org/officeDocument/2006/relationships/hyperlink" Target="http://www.ncbi.nlm.nih.gov/pubmed?term=3044440" TargetMode="External" /><pr:Relationship Id="rIdex_ID0EZJBG" Type="http://schemas.openxmlformats.org/officeDocument/2006/relationships/hyperlink" Target="http://dx.doi.org/10.1111/j.1365-2141.2006.06098.x" TargetMode="External" /><pr:Relationship Id="rIdex_ID0E6JBG" Type="http://schemas.openxmlformats.org/officeDocument/2006/relationships/hyperlink" Target="http://dx.doi.org/10.1111/j.1365-2141.2006.06098.x" TargetMode="External" /><pr:Relationship Id="rIdex_ID0EJKBG" Type="http://schemas.openxmlformats.org/officeDocument/2006/relationships/hyperlink" Target="http://www.ncbi.nlm.nih.gov/pubmed?term=10583220" TargetMode="External" /><pr:Relationship Id="rIdex_ID0EPKBG" Type="http://schemas.openxmlformats.org/officeDocument/2006/relationships/hyperlink" Target="http://www.ncbi.nlm.nih.gov/pubmed?term=10583220" TargetMode="External" /><pr:Relationship Id="rIdex_ID0EZKBG" Type="http://schemas.openxmlformats.org/officeDocument/2006/relationships/hyperlink" Target="http://www.ncbi.nlm.nih.gov/pubmed?term=9488634" TargetMode="External" /><pr:Relationship Id="rIdex_ID0E6KBG" Type="http://schemas.openxmlformats.org/officeDocument/2006/relationships/hyperlink" Target="http://www.ncbi.nlm.nih.gov/pubmed?term=9488634" TargetMode="External" /><pr:Relationship Id="rIdex_ID0EOLBG" Type="http://schemas.openxmlformats.org/officeDocument/2006/relationships/hyperlink" Target="http://dx.doi.org/10.1182/blood-2007-08-099168" TargetMode="External" /><pr:Relationship Id="rIdex_ID0ETLBG" Type="http://schemas.openxmlformats.org/officeDocument/2006/relationships/hyperlink" Target="http://dx.doi.org/10.1182/blood-2007-08-099168" TargetMode="External" /><pr:Relationship Id="rIdex_ID0E4LBG" Type="http://schemas.openxmlformats.org/officeDocument/2006/relationships/hyperlink" Target="http://dx.doi.org/10.1111/j.1365-2141.2005.05406.x" TargetMode="External" /><pr:Relationship Id="rIdex_ID0ECMBG" Type="http://schemas.openxmlformats.org/officeDocument/2006/relationships/hyperlink" Target="http://dx.doi.org/10.1111/j.1365-2141.2005.05406.x" TargetMode="External" /><pr:Relationship Id="rIdex_ID0EGMBG" Type="http://schemas.openxmlformats.org/officeDocument/2006/relationships/hyperlink" Target="http://dx.doi.org/10.1111/j.1365-2141.2005.05406.x" TargetMode="External" /><pr:Relationship Id="rIdex_ID0EQMBG" Type="http://schemas.openxmlformats.org/officeDocument/2006/relationships/hyperlink" Target="http://dx.doi.org/10.1182/blood-2011-05-352328" TargetMode="External" /><pr:Relationship Id="rIdex_ID0EWMBG" Type="http://schemas.openxmlformats.org/officeDocument/2006/relationships/hyperlink" Target="http://dx.doi.org/10.1182/blood-2011-05-352328" TargetMode="External" /><pr:Relationship Id="rIdex_ID0EANBG" Type="http://schemas.openxmlformats.org/officeDocument/2006/relationships/hyperlink" Target="http://dx.doi.org/10.1111/j.1365-2141.2009.08027.x" TargetMode="External" /><pr:Relationship Id="rIdex_ID0EFNBG" Type="http://schemas.openxmlformats.org/officeDocument/2006/relationships/hyperlink" Target="http://dx.doi.org/10.1111/j.1365-2141.2009.08027.x" TargetMode="External" /><pr:Relationship Id="rIdex_ID0EPNBG" Type="http://schemas.openxmlformats.org/officeDocument/2006/relationships/hyperlink" Target="http://dx.doi.org/10.1182/blood-2002-02-0494" TargetMode="External" /><pr:Relationship Id="rIdex_ID0EUNBG" Type="http://schemas.openxmlformats.org/officeDocument/2006/relationships/hyperlink" Target="http://dx.doi.org/10.1182/blood-2002-02-0494" TargetMode="External" /><pr:Relationship Id="rIdex_ID0E5NBG" Type="http://schemas.openxmlformats.org/officeDocument/2006/relationships/hyperlink" Target="http://dx.doi.org/10.1001/jama.2010.1376" TargetMode="External" /><pr:Relationship Id="rIdex_ID0EJOBG" Type="http://schemas.openxmlformats.org/officeDocument/2006/relationships/hyperlink" Target="http://dx.doi.org/10.1007/s00277-012-1454-x" TargetMode="External" /><pr:Relationship Id="rIdex_ID0EUOBG" Type="http://schemas.openxmlformats.org/officeDocument/2006/relationships/hyperlink" Target="http://dx.doi.org/10.1002/ajh.21118" TargetMode="External" /><pr:Relationship Id="rIdex_ID0EZOBG" Type="http://schemas.openxmlformats.org/officeDocument/2006/relationships/hyperlink" Target="http://dx.doi.org/10.1002/ajh.21118" TargetMode="External" /><pr:Relationship Id="rIdex_ID0EDPBG" Type="http://schemas.openxmlformats.org/officeDocument/2006/relationships/hyperlink" Target="http://dx.doi.org/10.1007/s00277-011-1163-x" TargetMode="External" /><pr:Relationship Id="rIdex_ID0EOPBG" Type="http://schemas.openxmlformats.org/officeDocument/2006/relationships/hyperlink" Target="http://www.ncbi.nlm.nih.gov/pubmed?term=11303606" TargetMode="External" /><pr:Relationship Id="rIdex_ID0EZPBG" Type="http://schemas.openxmlformats.org/officeDocument/2006/relationships/hyperlink" Target="http://www.ncbi.nlm.nih.gov/pubmed?term=11578150" TargetMode="External" /><pr:Relationship Id="rIdex_ID0EFQBG" Type="http://schemas.openxmlformats.org/officeDocument/2006/relationships/hyperlink" Target="http://dx.doi.org/10.1016/j.bbmt.2008.07.003" TargetMode="External" /><pr:Relationship Id="rIdex_ID0EKQBG" Type="http://schemas.openxmlformats.org/officeDocument/2006/relationships/hyperlink" Target="http://dx.doi.org/10.1016/j.bbmt.2008.07.003" TargetMode="External" /><pr:Relationship Id="rIdex_ID0E1QBG" Type="http://schemas.openxmlformats.org/officeDocument/2006/relationships/hyperlink" Target="http://www.ebmt.org/" TargetMode="External" /><pr:Relationship Id="rIdex_ID0ESG" Type="http://schemas.openxmlformats.org/officeDocument/2006/relationships/hyperlink" Target="https://www.onkopedia.com/@@resolve-link?language=de&amp;document_type=protocols&amp;guideline_topics=7&amp;area=onkopedia" TargetMode="External" /><pr:Relationship Id="rIdex_ID0EAH" Type="http://schemas.openxmlformats.org/officeDocument/2006/relationships/hyperlink" Target="https://www.onkopedia.com/@@resolve-link?language=de&amp;document_type=certifications&amp;guideline_topics=7&amp;area=onkopedia" TargetMode="External" /><pr:Relationship Id="rIdex_ID0E2RBG" Type="http://schemas.openxmlformats.org/officeDocument/2006/relationships/hyperlink" Target="http://www.aplastische-anaemie.de/" TargetMode="External" /><pr:Relationship Id="rIdID0EVC" Type="http://schemas.openxmlformats.org/officeDocument/2006/relationships/hyperlink" Target="mailto:h.schrezenmeier@blutspende.de" TargetMode="External" /><pr:Relationship Id="rIdID0EHD" Type="http://schemas.openxmlformats.org/officeDocument/2006/relationships/hyperlink" Target="mailto:tbruemmendorf@ukaachen.de" TargetMode="External" /><pr:Relationship Id="rIdID0E2D" Type="http://schemas.openxmlformats.org/officeDocument/2006/relationships/hyperlink" Target="mailto:werner.linkesch@meduni-graz.at" TargetMode="External" /><pr:Relationship Id="rIdID0EPE" Type="http://schemas.openxmlformats.org/officeDocument/2006/relationships/hyperlink" Target="mailto:joerg.schubert@elblandkliniken.de" TargetMode="External" /><pr:Relationship Id="rIdID0E5E" Type="http://schemas.openxmlformats.org/officeDocument/2006/relationships/hyperlink" Target="mailto:alexander.roeth@uk-essen.de" TargetMode="External" /><pr:Relationship Id="rIdID0ESF" Type="http://schemas.openxmlformats.org/officeDocument/2006/relationships/hyperlink" Target="mailto:b.hoechsmann@blutspende.de" TargetMode="External" /><pr:Relationship Id="rIdID0EEG" Type="http://schemas.openxmlformats.org/officeDocument/2006/relationships/hyperlink" Target="mailto:jdeeg@fhcrc.org" TargetMode="External" /></pr:Relationships>
</file>

<file path=word/theme/theme1.xml><?xml version="1.0" encoding="utf-8"?>
<a:theme xmlns:a="http://schemas.openxmlformats.org/drawingml/2006/main" name="Larissa">
  <a:themeElements>
    <a:clrScheme name="DGHO-Farbpalette">
      <a:dk1>
        <a:srgbClr val="7F7F7F"/>
      </a:dk1>
      <a:lt1>
        <a:sysClr val="window" lastClr="FFFFFF"/>
      </a:lt1>
      <a:dk2>
        <a:srgbClr val="757070"/>
      </a:dk2>
      <a:lt2>
        <a:srgbClr val="E7E6E6"/>
      </a:lt2>
      <a:accent1>
        <a:srgbClr val="00B050"/>
      </a:accent1>
      <a:accent2>
        <a:srgbClr val="FF0000"/>
      </a:accent2>
      <a:accent3>
        <a:srgbClr val="538135"/>
      </a:accent3>
      <a:accent4>
        <a:srgbClr val="93C573"/>
      </a:accent4>
      <a:accent5>
        <a:srgbClr val="B7D8A2"/>
      </a:accent5>
      <a:accent6>
        <a:srgbClr val="DBEBD0"/>
      </a:accent6>
      <a:hlink>
        <a:srgbClr val="2E75B5"/>
      </a:hlink>
      <a:folHlink>
        <a:srgbClr val="9CC3E5"/>
      </a:folHlink>
    </a:clrScheme>
    <a:fontScheme name="DGHO-Template">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55C7D-61B2-4AB9-8BA9-59A2E295A8A8}">
  <ds:schemaRefs>
    <ds:schemaRef ds:uri="http://schemas.openxmlformats.org/officeDocument/2006/bibliography"/>
  </ds:schemaRefs>
</ds:datastoreItem>
</file>

<file path=docProps/app.xml><?xml version="1.0" encoding="utf-8"?>
<ep:Properties xmlns="http://schemas.openxmlformats.org/officeDocument/2006/extended-properties" xmlns:vt="http://schemas.openxmlformats.org/officeDocument/2006/docPropsVTypes" xmlns:cp="http://schemas.openxmlformats.org/package/2006/metadata/core-properties" xmlns:dc="http://purl.org/dc/elements/1.1/" xmlns:dcterms="http://purl.org/dc/terms/" xmlns:dcmitype="http://purl.org/dc/dcmitype/" xmlns:ep="http://schemas.openxmlformats.org/officeDocument/2006/extended-properties">
  <ep:Template>Normal.dotm</ep:Template>
  <ep:TotalTime>0</ep:TotalTime>
  <ep:Pages>2</ep:Pages>
  <ep:Words>1</ep:Words>
  <ep:Characters>13</ep:Characters>
  <ep:Application>Microsoft Office Word</ep:Application>
  <ep:DocSecurity>0</ep:DocSecurity>
  <ep:Lines>1</ep:Lines>
  <ep:Paragraphs>1</ep:Paragraphs>
  <ep:ScaleCrop>false</ep:ScaleCrop>
  <ep:HeadingPairs>
    <vt:vector size="2" baseType="variant">
      <vt:variant>
        <vt:lpstr>Titel</vt:lpstr>
      </vt:variant>
      <vt:variant>
        <vt:i4>1</vt:i4>
      </vt:variant>
    </vt:vector>
  </ep:HeadingPairs>
  <ep:TitlesOfParts>
    <vt:vector size="1" baseType="lpstr">
      <vt:lpstr/>
    </vt:vector>
  </ep:TitlesOfParts>
  <ep:Company>Deutsche Gesellschaft für Hämatologie und Medizinische Onkologie e.V.</ep:Company>
  <ep:LinksUpToDate>false</ep:LinksUpToDate>
  <ep:CharactersWithSpaces>13</ep:CharactersWithSpaces>
  <ep:SharedDoc>false</ep:SharedDoc>
  <ep:HyperlinksChanged>false</ep:HyperlinksChanged>
  <ep:AppVersion>15.0000</ep:AppVersion>
</ep:Properties>
</file>

<file path=docProps/core.xml><?xml version="1.0" encoding="utf-8"?>
<cp:coreProperties xmlns:cp="http://schemas.openxmlformats.org/package/2006/metadata/core-properties">
  <dc:title xmlns:dc="http://purl.org/dc/elements/1.1/"/>
  <dc:subject xmlns:dc="http://purl.org/dc/elements/1.1/"/>
  <dc:creator xmlns:dc="http://purl.org/dc/elements/1.1/">http://www.c-rex.net</dc:creator>
  <cp:keywords/>
  <dc:description xmlns:dc="http://purl.org/dc/elements/1.1/"/>
  <cp:lastModifiedBy>http://www.c-rex.net</cp:lastModifiedBy>
  <cp:revision>1</cp:revision>
  <dcterms:created xmlns:dcterms="http://purl.org/dc/terms/" xmlns:xsi="http://www.w3.org/2001/XMLSchema-instance" xsi:type="dcterms:W3CDTF">2015-12-08T11:02:49Z</dcterms:created>
  <dcterms:modified xmlns:dcterms="http://purl.org/dc/terms/" xmlns:xsi="http://www.w3.org/2001/XMLSchema-instance" xsi:type="dcterms:W3CDTF">2015-12-08T11:02:49Z</dcterms:modified>
</cp:coreProperties>
</file>