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C7337" w14:textId="77777777" w:rsidR="00C72A94" w:rsidRDefault="00C72A94">
      <w:r>
        <w:t>References:</w:t>
      </w:r>
    </w:p>
    <w:p w14:paraId="0E7D0184" w14:textId="77777777" w:rsidR="00C72A94" w:rsidRDefault="00C72A94"/>
    <w:p w14:paraId="6CAFD43B" w14:textId="77777777" w:rsidR="00C72A94" w:rsidRDefault="00C72A94" w:rsidP="00C72A94">
      <w:pPr>
        <w:pStyle w:val="ListParagraph"/>
        <w:numPr>
          <w:ilvl w:val="0"/>
          <w:numId w:val="1"/>
        </w:numPr>
      </w:pPr>
      <w:r>
        <w:t xml:space="preserve">Most commonly used drugs in surgery </w:t>
      </w:r>
    </w:p>
    <w:p w14:paraId="306DCCE0" w14:textId="7D4C0FAF" w:rsidR="005D6DEB" w:rsidRDefault="00F7681F">
      <w:hyperlink r:id="rId5" w:history="1">
        <w:r w:rsidRPr="006076A7">
          <w:rPr>
            <w:rStyle w:val="Hyperlink"/>
          </w:rPr>
          <w:t>https://www.verywell.com/drugs-used-before-during-and-after-surgery-3156830</w:t>
        </w:r>
      </w:hyperlink>
    </w:p>
    <w:p w14:paraId="2FC524A4" w14:textId="391B8550" w:rsidR="0040792B" w:rsidRDefault="0040792B" w:rsidP="0040792B">
      <w:pPr>
        <w:pStyle w:val="Heading3"/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</w:pPr>
      <w:hyperlink r:id="rId6" w:history="1">
        <w:r>
          <w:rPr>
            <w:rStyle w:val="Hyperlink"/>
            <w:rFonts w:ascii="HelveticaNeueBold" w:eastAsia="Times New Roman" w:hAnsi="HelveticaNeueBold"/>
            <w:b w:val="0"/>
            <w:bCs w:val="0"/>
            <w:color w:val="222222"/>
            <w:sz w:val="29"/>
            <w:szCs w:val="29"/>
            <w:u w:val="none"/>
          </w:rPr>
          <w:t>Antibiotics</w:t>
        </w:r>
      </w:hyperlink>
      <w:r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  <w:t>:</w:t>
      </w:r>
    </w:p>
    <w:p w14:paraId="0D1185A4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Amoxicillin</w:t>
      </w:r>
    </w:p>
    <w:p w14:paraId="74409368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Ampicillin</w:t>
      </w:r>
    </w:p>
    <w:p w14:paraId="6C63EAC6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Ancef (Cefazolin)</w:t>
      </w:r>
    </w:p>
    <w:p w14:paraId="5032A0A5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Keflex (Cephalexin)</w:t>
      </w:r>
    </w:p>
    <w:p w14:paraId="4149B761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Levaquin (Levofloxacin)</w:t>
      </w:r>
    </w:p>
    <w:p w14:paraId="440CCB1F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Linezolid</w:t>
      </w:r>
    </w:p>
    <w:p w14:paraId="39D937A8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Maxipime (Cefepime)</w:t>
      </w:r>
    </w:p>
    <w:p w14:paraId="5D39083D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Piperacillin</w:t>
      </w:r>
    </w:p>
    <w:p w14:paraId="6FFDEEB0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Rifampin</w:t>
      </w:r>
    </w:p>
    <w:p w14:paraId="7BBAD0AB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Rocephin (Ceftriaxone)</w:t>
      </w:r>
    </w:p>
    <w:p w14:paraId="48E41E57" w14:textId="77777777" w:rsidR="0040792B" w:rsidRPr="0040792B" w:rsidRDefault="0040792B" w:rsidP="0040792B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22222"/>
          <w:sz w:val="23"/>
          <w:szCs w:val="23"/>
        </w:rPr>
      </w:pPr>
      <w:r w:rsidRPr="0040792B">
        <w:rPr>
          <w:rFonts w:ascii="Times" w:eastAsia="Times New Roman" w:hAnsi="Times" w:cs="Times New Roman"/>
          <w:color w:val="222222"/>
          <w:sz w:val="23"/>
          <w:szCs w:val="23"/>
        </w:rPr>
        <w:t>Vancomycin</w:t>
      </w:r>
    </w:p>
    <w:p w14:paraId="6FD630D1" w14:textId="5C399ABA" w:rsidR="0040792B" w:rsidRDefault="00873A78" w:rsidP="0040792B">
      <w:pPr>
        <w:pStyle w:val="Heading3"/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</w:pPr>
      <w:r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  <w:t xml:space="preserve">+ Dopamine </w:t>
      </w:r>
      <w:r w:rsidR="00F27F81">
        <w:rPr>
          <w:rFonts w:ascii="HelveticaNeueBold" w:eastAsia="Times New Roman" w:hAnsi="HelveticaNeueBold"/>
          <w:b w:val="0"/>
          <w:bCs w:val="0"/>
          <w:color w:val="222222"/>
          <w:sz w:val="29"/>
          <w:szCs w:val="29"/>
        </w:rPr>
        <w:t>(from reference study)</w:t>
      </w:r>
      <w:bookmarkStart w:id="0" w:name="_GoBack"/>
      <w:bookmarkEnd w:id="0"/>
    </w:p>
    <w:p w14:paraId="719B8C48" w14:textId="77777777" w:rsidR="00F7681F" w:rsidRDefault="00F7681F"/>
    <w:sectPr w:rsidR="00F7681F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Bold">
    <w:charset w:val="00"/>
    <w:family w:val="auto"/>
    <w:pitch w:val="variable"/>
    <w:sig w:usb0="E50002FF" w:usb1="500079DB" w:usb2="00001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33A2"/>
    <w:multiLevelType w:val="multilevel"/>
    <w:tmpl w:val="398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D378B"/>
    <w:multiLevelType w:val="hybridMultilevel"/>
    <w:tmpl w:val="2E88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94"/>
    <w:rsid w:val="0040792B"/>
    <w:rsid w:val="005D6DEB"/>
    <w:rsid w:val="00873A78"/>
    <w:rsid w:val="00C72A94"/>
    <w:rsid w:val="00D97265"/>
    <w:rsid w:val="00F27F81"/>
    <w:rsid w:val="00F7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BD8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792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8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792B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erywell.com/drugs-used-before-during-and-after-surgery-3156830" TargetMode="External"/><Relationship Id="rId6" Type="http://schemas.openxmlformats.org/officeDocument/2006/relationships/hyperlink" Target="https://www.verywell.com/antibiotics-before-and-after-surgery-31573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Antibiotics:</vt:lpstr>
      <vt:lpstr>        + Dopamine </vt:lpstr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3</cp:revision>
  <dcterms:created xsi:type="dcterms:W3CDTF">2017-04-25T00:29:00Z</dcterms:created>
  <dcterms:modified xsi:type="dcterms:W3CDTF">2017-04-25T00:36:00Z</dcterms:modified>
</cp:coreProperties>
</file>