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120"/>
        <w:rPr>
          <w:b w:val="false"/>
          <w:b w:val="false"/>
        </w:rPr>
      </w:pPr>
      <w:r>
        <w:rPr>
          <w:b w:val="false"/>
        </w:rPr>
        <w:t>Document metadata</w:t>
      </w:r>
    </w:p>
    <w:tbl>
      <w:tblPr>
        <w:tblStyle w:val="a"/>
        <w:tblW w:w="9150" w:type="dxa"/>
        <w:jc w:val="left"/>
        <w:tblInd w:w="0" w:type="dxa"/>
        <w:tblCellMar>
          <w:top w:w="0" w:type="dxa"/>
          <w:left w:w="108" w:type="dxa"/>
          <w:bottom w:w="0" w:type="dxa"/>
          <w:right w:w="108" w:type="dxa"/>
        </w:tblCellMar>
        <w:tblLook w:val="0400" w:noHBand="0" w:noVBand="1" w:firstColumn="0" w:lastRow="0" w:lastColumn="0" w:firstRow="0"/>
      </w:tblPr>
      <w:tblGrid>
        <w:gridCol w:w="4348"/>
        <w:gridCol w:w="4801"/>
      </w:tblGrid>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Document ID</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E_2253_0015A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rPr>
            </w:pPr>
            <w:r>
              <w:rPr>
                <w:rFonts w:eastAsia="Arial" w:cs="Arial" w:ascii="Arial" w:hAnsi="Arial"/>
              </w:rPr>
              <w:t>A copy of an account by Rāmānanda Bā̃ḍā of petitions he made to Rudravīra Sāha and Bam Sāha in justification of his claim to control the Luthāma Guṭha [VS 1859]</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Short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rPr>
            </w:pPr>
            <w:r>
              <w:rPr>
                <w:rFonts w:eastAsia="Arial" w:cs="Arial" w:ascii="Arial" w:hAnsi="Arial"/>
                <w:color w:val="434343"/>
              </w:rPr>
              <w:t>A copy of an account re petitions made to Rudravīra Sāha and Bam Sāha in justification of the claim to control the Luthāma Guṭha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Author/issuer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[Rāmānanda Bā̃ḍā]</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editor(s)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Manik Bajracharya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collaborator(s)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deposit / current location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Deposit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Manoja Rājopādhyāya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Inventory number assigned by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NGMPP E 2253/15A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rPr>
                <w:rFonts w:ascii="Arial" w:hAnsi="Arial" w:eastAsia="Arial" w:cs="Arial"/>
                <w:color w:val="434343"/>
              </w:rPr>
            </w:pPr>
            <w:r>
              <w:rPr>
                <w:rFonts w:eastAsia="Arial" w:cs="Arial" w:ascii="Arial" w:hAnsi="Arial"/>
                <w:color w:val="434343"/>
              </w:rPr>
              <w:t>Alternative manifestation/Inventory Type of alternative manifestation</w:t>
            </w:r>
          </w:p>
          <w:p>
            <w:pPr>
              <w:pStyle w:val="Normal"/>
              <w:spacing w:before="0" w:after="200"/>
              <w:rPr>
                <w:rFonts w:ascii="Arial" w:hAnsi="Arial" w:eastAsia="Arial" w:cs="Arial"/>
                <w:color w:val="434343"/>
              </w:rPr>
            </w:pPr>
            <w:r>
              <w:rPr>
                <w:rFonts w:eastAsia="Arial" w:cs="Arial" w:ascii="Arial" w:hAnsi="Arial"/>
                <w:color w:val="434343"/>
              </w:rPr>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Image</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Location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Heidelberg</w:t>
            </w:r>
          </w:p>
        </w:tc>
      </w:tr>
      <w:tr>
        <w:trPr>
          <w:trHeight w:val="420"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Heidelberg Academy of Sciences and Humanities</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inventory number</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language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Nepali</w:t>
            </w:r>
          </w:p>
        </w:tc>
      </w:tr>
      <w:tr>
        <w:trPr>
          <w:trHeight w:val="450"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Other languages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r>
          </w:p>
        </w:tc>
      </w:tr>
      <w:tr>
        <w:trPr>
          <w:trHeight w:val="428"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lineRule="auto" w:line="360" w:before="240" w:after="200"/>
              <w:rPr>
                <w:rFonts w:ascii="Arial" w:hAnsi="Arial" w:eastAsia="Arial" w:cs="Arial"/>
                <w:color w:val="434343"/>
              </w:rPr>
            </w:pPr>
            <w:r>
              <w:rPr>
                <w:rFonts w:eastAsia="Arial" w:cs="Arial" w:ascii="Arial" w:hAnsi="Arial"/>
                <w:color w:val="434343"/>
              </w:rPr>
              <w:t>Link to catalogue entry</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https://abhilekha.adw.uni-heidelberg.de/nepal/catitems/viewitem/18745/</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Date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[VS 1859]</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r>
          </w:p>
        </w:tc>
      </w:tr>
    </w:tbl>
    <w:p>
      <w:pPr>
        <w:pStyle w:val="Normal"/>
        <w:rPr>
          <w:rFonts w:ascii="Arial" w:hAnsi="Arial" w:eastAsia="Arial" w:cs="Arial"/>
          <w:color w:val="434343"/>
        </w:rPr>
      </w:pPr>
      <w:r>
        <w:rPr>
          <w:rFonts w:eastAsia="Arial" w:cs="Arial" w:ascii="Arial" w:hAnsi="Arial"/>
          <w:color w:val="434343"/>
        </w:rPr>
      </w:r>
      <w:r>
        <w:br w:type="page"/>
      </w:r>
    </w:p>
    <w:p>
      <w:pPr>
        <w:pStyle w:val="Heading1"/>
        <w:keepNext w:val="false"/>
        <w:keepLines w:val="false"/>
        <w:rPr>
          <w:b w:val="false"/>
          <w:b w:val="false"/>
          <w:sz w:val="46"/>
          <w:szCs w:val="46"/>
        </w:rPr>
      </w:pPr>
      <w:bookmarkStart w:id="0" w:name="_9z6qi1y1lw69"/>
      <w:bookmarkEnd w:id="0"/>
      <w:r>
        <w:rPr>
          <w:b w:val="false"/>
          <w:sz w:val="46"/>
          <w:szCs w:val="46"/>
        </w:rPr>
        <w:t>Facsimiles</w:t>
      </w:r>
    </w:p>
    <w:p>
      <w:pPr>
        <w:pStyle w:val="Heading2"/>
        <w:rPr>
          <w:rFonts w:ascii="Arial" w:hAnsi="Arial" w:eastAsia="Arial" w:cs="Arial"/>
          <w:b w:val="false"/>
          <w:b w:val="false"/>
          <w:color w:val="000000"/>
          <w:sz w:val="40"/>
          <w:szCs w:val="40"/>
        </w:rPr>
      </w:pPr>
      <w:bookmarkStart w:id="1" w:name="_tdzit1nutccs"/>
      <w:bookmarkEnd w:id="1"/>
      <w:commentRangeStart w:id="0"/>
      <w:r>
        <w:rPr>
          <w:rFonts w:eastAsia="Arial" w:cs="Arial" w:ascii="Arial" w:hAnsi="Arial"/>
          <w:b w:val="false"/>
          <w:color w:val="000000"/>
          <w:sz w:val="40"/>
          <w:szCs w:val="40"/>
        </w:rPr>
        <w:t>surface1:</w:t>
      </w:r>
      <w:r>
        <w:rPr/>
        <w:t xml:space="preserve"> </w:t>
      </w:r>
      <w:r>
        <w:rPr>
          <w:rFonts w:eastAsia="Arial" w:cs="Arial" w:ascii="Arial" w:hAnsi="Arial"/>
          <w:b w:val="false"/>
          <w:color w:val="000000"/>
          <w:sz w:val="40"/>
          <w:szCs w:val="40"/>
        </w:rPr>
        <w:t>E_2253_0532.png:1r</w:t>
      </w:r>
      <w:commentRangeEnd w:id="0"/>
      <w:r>
        <w:commentReference w:id="0"/>
      </w:r>
      <w:r>
        <w:rPr>
          <w:rFonts w:eastAsia="Arial" w:cs="Arial" w:ascii="Arial" w:hAnsi="Arial"/>
          <w:b w:val="false"/>
          <w:color w:val="000000"/>
          <w:sz w:val="40"/>
          <w:szCs w:val="40"/>
        </w:rPr>
      </w:r>
    </w:p>
    <w:p>
      <w:pPr>
        <w:pStyle w:val="Heading1"/>
        <w:keepNext w:val="false"/>
        <w:keepLines w:val="false"/>
        <w:rPr>
          <w:b w:val="false"/>
          <w:b w:val="false"/>
          <w:color w:val="000000"/>
          <w:sz w:val="46"/>
          <w:szCs w:val="46"/>
        </w:rPr>
      </w:pPr>
      <w:bookmarkStart w:id="2" w:name="_rdifyynzwlgu"/>
      <w:bookmarkEnd w:id="2"/>
      <w:r>
        <w:rPr>
          <w:b w:val="false"/>
          <w:color w:val="000000"/>
          <w:sz w:val="46"/>
          <w:szCs w:val="46"/>
        </w:rPr>
        <w:t>Abstract</w:t>
      </w:r>
    </w:p>
    <w:p>
      <w:pPr>
        <w:pStyle w:val="Normal"/>
        <w:spacing w:lineRule="auto" w:line="259" w:before="220" w:after="160"/>
        <w:rPr>
          <w:rFonts w:ascii="Arial" w:hAnsi="Arial" w:eastAsia="Arial" w:cs="Arial"/>
          <w:b/>
          <w:b/>
        </w:rPr>
      </w:pPr>
      <w:r>
        <w:rPr>
          <w:rFonts w:eastAsia="Arial" w:cs="Arial" w:ascii="Arial" w:hAnsi="Arial"/>
        </w:rPr>
        <w:t>The document of this which is a copy is an account made to an unknown addressee by Rāmānanda Bā̃ḍā describing how in VS 1859 control of the Luthāma Guṭhī, a Matsyendranātha-related trust, had been misused by Bhājudhana Jaisi, and how the sender had petitioned Rudravīra Sāha and Bam Sāha to regain control of the guṭhī.</w:t>
      </w:r>
    </w:p>
    <w:p>
      <w:pPr>
        <w:pStyle w:val="Heading1"/>
        <w:rPr/>
      </w:pPr>
      <w:bookmarkStart w:id="3" w:name="_2q9tj211wfsd"/>
      <w:bookmarkEnd w:id="3"/>
      <w:r>
        <w:rPr>
          <w:b w:val="false"/>
          <w:sz w:val="46"/>
          <w:szCs w:val="46"/>
        </w:rPr>
        <w:t>Edition (san)</w:t>
      </w:r>
    </w:p>
    <w:p>
      <w:pPr>
        <w:pStyle w:val="Heading2"/>
        <w:spacing w:lineRule="auto" w:line="240" w:before="280" w:after="280"/>
        <w:ind w:left="90" w:hanging="0"/>
        <w:rPr/>
      </w:pPr>
      <w:bookmarkStart w:id="4" w:name="_pn9xbu6k6tf0"/>
      <w:bookmarkEnd w:id="4"/>
      <w:r>
        <w:rPr/>
        <w:t>pb@#surface1@1r</w:t>
      </w:r>
    </w:p>
    <w:p>
      <w:pPr>
        <w:pStyle w:val="Heading2"/>
        <w:spacing w:lineRule="auto" w:line="240" w:before="280" w:after="280"/>
        <w:ind w:left="90" w:hanging="0"/>
        <w:rPr/>
      </w:pPr>
      <w:bookmarkStart w:id="5" w:name="_fu12v0foqj4i"/>
      <w:bookmarkEnd w:id="5"/>
      <w:r>
        <w:rPr/>
        <w:t>ab</w:t>
      </w:r>
      <w:r>
        <w:rPr>
          <w:color w:val="FF0000"/>
        </w:rPr>
        <w:t>@#invocatio@invocatio</w:t>
      </w:r>
    </w:p>
    <w:p>
      <w:pPr>
        <w:pStyle w:val="Heading2"/>
        <w:spacing w:lineRule="auto" w:line="240" w:before="280" w:after="280"/>
        <w:ind w:left="90" w:hanging="0"/>
        <w:rPr>
          <w:rFonts w:ascii="Nirmala UI" w:hAnsi="Nirmala UI" w:eastAsia="Courier New" w:cs="Nirmala UI"/>
          <w:b w:val="false"/>
          <w:b w:val="false"/>
          <w:color w:val="080808"/>
          <w:sz w:val="24"/>
          <w:szCs w:val="24"/>
        </w:rPr>
      </w:pPr>
      <w:bookmarkStart w:id="6" w:name="_r7swz7akyvp"/>
      <w:bookmarkEnd w:id="6"/>
      <w:r>
        <w:rPr>
          <w:rFonts w:ascii="Nirmala UI" w:hAnsi="Nirmala UI" w:eastAsia="Courier New" w:cs="Nirmala UI"/>
          <w:b w:val="false"/>
          <w:b w:val="false"/>
          <w:color w:val="080808"/>
          <w:sz w:val="24"/>
          <w:sz w:val="24"/>
          <w:szCs w:val="24"/>
        </w:rPr>
        <w:t>श्री ३ मत्स्येन्द्रनाथ १</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@#space1@space</w:t>
      </w:r>
    </w:p>
    <w:p>
      <w:pPr>
        <w:pStyle w:val="Heading2"/>
        <w:spacing w:lineRule="auto" w:line="240" w:before="280" w:after="280"/>
        <w:ind w:left="90" w:hanging="0"/>
        <w:rPr>
          <w:rFonts w:ascii="Nirmala UI" w:hAnsi="Nirmala UI" w:eastAsia="Times New Roman" w:cs="Nirmala UI"/>
          <w:b w:val="false"/>
          <w:b w:val="false"/>
          <w:color w:val="auto"/>
          <w:sz w:val="24"/>
          <w:szCs w:val="24"/>
        </w:rPr>
      </w:pPr>
      <w:bookmarkStart w:id="7" w:name="_ghwfu4k0wdru"/>
      <w:bookmarkStart w:id="8" w:name="_dlzeesqam4xg"/>
      <w:bookmarkEnd w:id="7"/>
      <w:bookmarkEnd w:id="8"/>
      <w:r>
        <w:rPr>
          <w:rFonts w:ascii="Nirmala UI" w:hAnsi="Nirmala UI" w:eastAsia="Times New Roman" w:cs="Nirmala UI"/>
          <w:b w:val="false"/>
          <w:b w:val="false"/>
          <w:color w:val="auto"/>
          <w:sz w:val="24"/>
          <w:sz w:val="24"/>
          <w:szCs w:val="24"/>
          <w:lang w:val="de-DE"/>
        </w:rPr>
        <w:t>श्री</w:t>
      </w:r>
      <w:r>
        <w:rPr>
          <w:rFonts w:ascii="Nirmala UI" w:hAnsi="Nirmala UI" w:eastAsia="Times New Roman" w:cs="Nirmala UI"/>
          <w:b w:val="false"/>
          <w:b w:val="false"/>
          <w:color w:val="auto"/>
          <w:sz w:val="24"/>
          <w:sz w:val="24"/>
          <w:szCs w:val="24"/>
        </w:rPr>
        <w:t xml:space="preserve"> </w:t>
      </w:r>
      <w:r>
        <w:rPr>
          <w:rFonts w:ascii="Nirmala UI" w:hAnsi="Nirmala UI" w:eastAsia="Times New Roman" w:cs="Nirmala UI"/>
          <w:b w:val="false"/>
          <w:b w:val="false"/>
          <w:color w:val="auto"/>
          <w:sz w:val="24"/>
          <w:sz w:val="24"/>
          <w:szCs w:val="24"/>
          <w:lang w:val="de-DE"/>
        </w:rPr>
        <w:t>५</w:t>
      </w:r>
      <w:r>
        <w:rPr>
          <w:rFonts w:ascii="Nirmala UI" w:hAnsi="Nirmala UI" w:eastAsia="Times New Roman" w:cs="Nirmala UI"/>
          <w:b w:val="false"/>
          <w:b w:val="false"/>
          <w:color w:val="auto"/>
          <w:sz w:val="24"/>
          <w:sz w:val="24"/>
          <w:szCs w:val="24"/>
        </w:rPr>
        <w:t xml:space="preserve"> </w:t>
      </w:r>
      <w:r>
        <w:rPr>
          <w:rFonts w:ascii="Nirmala UI" w:hAnsi="Nirmala UI" w:eastAsia="Times New Roman" w:cs="Nirmala UI"/>
          <w:b w:val="false"/>
          <w:b w:val="false"/>
          <w:color w:val="auto"/>
          <w:sz w:val="24"/>
          <w:sz w:val="24"/>
          <w:szCs w:val="24"/>
          <w:lang w:val="de-DE"/>
        </w:rPr>
        <w:t>महाराजा</w:t>
      </w:r>
      <w:r>
        <w:rPr>
          <w:rFonts w:ascii="Nirmala UI" w:hAnsi="Nirmala UI" w:eastAsia="Times New Roman" w:cs="Nirmala UI"/>
          <w:b w:val="false"/>
          <w:b w:val="false"/>
          <w:color w:val="auto"/>
          <w:sz w:val="24"/>
          <w:sz w:val="24"/>
          <w:szCs w:val="24"/>
        </w:rPr>
        <w:t xml:space="preserve"> </w:t>
      </w:r>
      <w:r>
        <w:rPr>
          <w:rFonts w:ascii="Nirmala UI" w:hAnsi="Nirmala UI" w:eastAsia="Times New Roman" w:cs="Nirmala UI"/>
          <w:b w:val="false"/>
          <w:b w:val="false"/>
          <w:color w:val="auto"/>
          <w:sz w:val="24"/>
          <w:sz w:val="24"/>
          <w:szCs w:val="24"/>
          <w:lang w:val="de-DE"/>
        </w:rPr>
        <w:t>२</w:t>
      </w:r>
    </w:p>
    <w:p>
      <w:pPr>
        <w:pStyle w:val="Heading2"/>
        <w:spacing w:lineRule="auto" w:line="240" w:before="280" w:after="280"/>
        <w:ind w:left="90" w:hanging="0"/>
        <w:rPr/>
      </w:pPr>
      <w:r>
        <w:rPr/>
        <w:t xml:space="preserve">ab </w:t>
      </w:r>
      <w:r>
        <w:rPr>
          <w:color w:val="FF0000"/>
        </w:rPr>
        <w:t>@#</w:t>
      </w:r>
      <w:r>
        <w:rPr>
          <w:rFonts w:eastAsia="Courier New" w:cs="Courier New" w:ascii="Courier New" w:hAnsi="Courier New"/>
          <w:color w:val="FF0000"/>
          <w:sz w:val="24"/>
          <w:szCs w:val="24"/>
          <w:highlight w:val="white"/>
        </w:rPr>
        <w:t>main_text@maintext</w:t>
      </w:r>
    </w:p>
    <w:p>
      <w:pPr>
        <w:pStyle w:val="Normal"/>
        <w:rPr/>
      </w:pPr>
      <w:r>
        <w:rPr/>
        <w:t>#S</w:t>
      </w:r>
      <w:r>
        <w:rPr/>
        <w:t>B</w:t>
      </w:r>
      <w:r>
        <w:rPr/>
        <w:t xml:space="preserve"> </w:t>
      </w:r>
      <w:r>
        <w:rPr/>
        <w:t xml:space="preserve">लुथाम्‌ गूठ भन्याको हाम्रा पुरुषा </w:t>
      </w:r>
      <w:r>
        <w:rPr/>
        <w:t>#pen{</w:t>
      </w:r>
      <w:r>
        <w:rPr/>
        <w:t>जीवराज वांडाले</w:t>
      </w:r>
      <w:r>
        <w:rPr/>
        <w:t xml:space="preserve">}# </w:t>
      </w:r>
      <w:r>
        <w:rPr/>
        <w:t xml:space="preserve">१को रथमाँहां </w:t>
      </w:r>
      <w:r>
        <w:rPr/>
        <w:t xml:space="preserve">#orig{•}# </w:t>
      </w:r>
      <w:r>
        <w:rPr/>
        <w:t xml:space="preserve">विमान चढाई राष्याको हो </w:t>
      </w:r>
      <w:r>
        <w:rPr/>
        <w:t>- #SE</w:t>
      </w:r>
    </w:p>
    <w:p>
      <w:pPr>
        <w:pStyle w:val="Heading1"/>
        <w:keepNext w:val="false"/>
        <w:keepLines w:val="false"/>
        <w:rPr>
          <w:b w:val="false"/>
          <w:b w:val="false"/>
          <w:color w:val="000000"/>
          <w:sz w:val="46"/>
          <w:szCs w:val="46"/>
        </w:rPr>
      </w:pPr>
      <w:r>
        <w:rPr>
          <w:b w:val="false"/>
          <w:color w:val="000000"/>
          <w:sz w:val="46"/>
          <w:szCs w:val="46"/>
        </w:rPr>
        <w:t>English Translation</w:t>
      </w:r>
      <w:bookmarkStart w:id="9" w:name="_wob5lbahqu0g"/>
      <w:bookmarkEnd w:id="9"/>
    </w:p>
    <w:p>
      <w:pPr>
        <w:pStyle w:val="Heading1"/>
        <w:keepNext w:val="false"/>
        <w:keepLines w:val="false"/>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Thrice glorious Matsyendranātha - 1</w:t>
      </w:r>
    </w:p>
    <w:p>
      <w:pPr>
        <w:pStyle w:val="Heading1"/>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The Luthāma Guṭha was established by our ancestor #pen{ Jīvarāja Bā̃ḍā }# when he offered the vimāna</w:t>
      </w:r>
      <w:r>
        <w:rPr>
          <w:rStyle w:val="FootnoteAnchor"/>
          <w:rFonts w:eastAsia="Times New Roman" w:cs="Times New Roman" w:ascii="Times New Roman" w:hAnsi="Times New Roman"/>
          <w:b w:val="false"/>
          <w:sz w:val="24"/>
          <w:szCs w:val="24"/>
        </w:rPr>
        <w:footnoteReference w:id="2"/>
      </w:r>
      <w:r>
        <w:rPr>
          <w:rFonts w:eastAsia="Times New Roman" w:cs="Times New Roman" w:ascii="Times New Roman" w:hAnsi="Times New Roman"/>
          <w:b w:val="false"/>
          <w:sz w:val="24"/>
          <w:szCs w:val="24"/>
        </w:rPr>
        <w:t xml:space="preserve"> to the chariot of 1 [i.e., Matsyendranātha]. His descendants have been serving this [</w:t>
      </w:r>
      <w:r>
        <w:rPr>
          <w:rFonts w:eastAsia="Times New Roman" w:cs="Times New Roman" w:ascii="Times New Roman" w:hAnsi="Times New Roman"/>
          <w:bCs/>
          <w:sz w:val="24"/>
          <w:szCs w:val="24"/>
        </w:rPr>
        <w:t>guṭha</w:t>
      </w:r>
      <w:r>
        <w:rPr>
          <w:rFonts w:eastAsia="Times New Roman" w:cs="Times New Roman" w:ascii="Times New Roman" w:hAnsi="Times New Roman"/>
          <w:b w:val="false"/>
          <w:sz w:val="24"/>
          <w:szCs w:val="24"/>
        </w:rPr>
        <w:t xml:space="preserve">] for 192 years. When in the meantime, after 24 years of Gorkha rule, the </w:t>
      </w:r>
      <w:r>
        <w:rPr>
          <w:rFonts w:eastAsia="Times New Roman" w:cs="Times New Roman" w:ascii="Times New Roman" w:hAnsi="Times New Roman"/>
          <w:b w:val="false"/>
          <w:i/>
          <w:iCs/>
          <w:sz w:val="24"/>
          <w:szCs w:val="24"/>
        </w:rPr>
        <w:t>ijārā</w:t>
      </w:r>
      <w:r>
        <w:rPr>
          <w:rFonts w:eastAsia="Times New Roman" w:cs="Times New Roman" w:ascii="Times New Roman" w:hAnsi="Times New Roman"/>
          <w:b w:val="false"/>
          <w:sz w:val="24"/>
          <w:szCs w:val="24"/>
        </w:rPr>
        <w:t xml:space="preserve"> [system] was instituted, we did not bid for and enjoy [the physical benefit of] the </w:t>
      </w:r>
      <w:r>
        <w:rPr>
          <w:rFonts w:eastAsia="Times New Roman" w:cs="Times New Roman" w:ascii="Times New Roman" w:hAnsi="Times New Roman"/>
          <w:b w:val="false"/>
          <w:i/>
          <w:iCs/>
          <w:sz w:val="24"/>
          <w:szCs w:val="24"/>
        </w:rPr>
        <w:t>ijārā</w:t>
      </w:r>
      <w:r>
        <w:rPr>
          <w:rFonts w:eastAsia="Times New Roman" w:cs="Times New Roman" w:ascii="Times New Roman" w:hAnsi="Times New Roman"/>
          <w:b w:val="false"/>
          <w:sz w:val="24"/>
          <w:szCs w:val="24"/>
        </w:rPr>
        <w:t xml:space="preserve"> [contract] for the guṭha, since it was established for the purpose of [accumulating] religious merit. [However,] we did not discontinue the services carried out by our ancestors. When in the year [VS 18]59 (1802 CE) we heard that Bhājudhana Jaisi had had </w:t>
      </w:r>
      <w:r>
        <w:rPr>
          <w:rFonts w:eastAsia="Times New Roman" w:cs="Times New Roman" w:ascii="Times New Roman" w:hAnsi="Times New Roman"/>
          <w:b w:val="false"/>
          <w:i/>
          <w:iCs/>
          <w:sz w:val="24"/>
          <w:szCs w:val="24"/>
        </w:rPr>
        <w:t>ijārā</w:t>
      </w:r>
      <w:r>
        <w:rPr>
          <w:rFonts w:eastAsia="Times New Roman" w:cs="Times New Roman" w:ascii="Times New Roman" w:hAnsi="Times New Roman"/>
          <w:b w:val="false"/>
          <w:sz w:val="24"/>
          <w:szCs w:val="24"/>
        </w:rPr>
        <w:t xml:space="preserve"> [obligations on the part of the </w:t>
      </w:r>
      <w:r>
        <w:rPr>
          <w:rFonts w:eastAsia="Times New Roman" w:cs="Times New Roman" w:ascii="Times New Roman" w:hAnsi="Times New Roman"/>
          <w:b w:val="false"/>
          <w:i/>
          <w:iCs/>
          <w:sz w:val="24"/>
          <w:szCs w:val="24"/>
        </w:rPr>
        <w:t>guṭha</w:t>
      </w:r>
      <w:r>
        <w:rPr>
          <w:rFonts w:eastAsia="Times New Roman" w:cs="Times New Roman" w:ascii="Times New Roman" w:hAnsi="Times New Roman"/>
          <w:b w:val="false"/>
          <w:sz w:val="24"/>
          <w:szCs w:val="24"/>
        </w:rPr>
        <w:t>] forgiven, we went to #pen{ Rudravīra Sāha }#</w:t>
      </w:r>
      <w:r>
        <w:rPr>
          <w:rStyle w:val="FootnoteAnchor"/>
          <w:rFonts w:eastAsia="Times New Roman" w:cs="Times New Roman" w:ascii="Times New Roman" w:hAnsi="Times New Roman"/>
          <w:b w:val="false"/>
          <w:sz w:val="24"/>
          <w:szCs w:val="24"/>
        </w:rPr>
        <w:footnoteReference w:id="3"/>
      </w:r>
      <w:r>
        <w:rPr>
          <w:rFonts w:eastAsia="Times New Roman" w:cs="Times New Roman" w:ascii="Times New Roman" w:hAnsi="Times New Roman"/>
          <w:b w:val="false"/>
          <w:sz w:val="24"/>
          <w:szCs w:val="24"/>
        </w:rPr>
        <w:t>. We petitioned him, saying: "If 2 [i.e., the king] confiscates the deity's property, there is nothing we can do. Since the king [now] has returned the deity's land to the deity, [and since] the Śiristās 5 of the three cities have said that we should receive [charge of the guṭha], how is it that a Jaisi has seized control of a guṭha of the Bā̃ḍās? Injustice is being done [to us]," and he told us: "We haven't removed the guṭhī members (</w:t>
      </w:r>
      <w:r>
        <w:rPr>
          <w:rFonts w:eastAsia="Times New Roman" w:cs="Times New Roman" w:ascii="Times New Roman" w:hAnsi="Times New Roman"/>
          <w:b w:val="false"/>
          <w:i/>
          <w:iCs/>
          <w:sz w:val="24"/>
          <w:szCs w:val="24"/>
        </w:rPr>
        <w:t>guṭhīhāra</w:t>
      </w:r>
      <w:r>
        <w:rPr>
          <w:rFonts w:eastAsia="Times New Roman" w:cs="Times New Roman" w:ascii="Times New Roman" w:hAnsi="Times New Roman"/>
          <w:b w:val="false"/>
          <w:sz w:val="24"/>
          <w:szCs w:val="24"/>
        </w:rPr>
        <w:t xml:space="preserve">); only ijārā [obligations] have been forgiven." He said that he would take Bhājudhana to task. He, being face to face (rubaru) with Bhājudhana, told him to return [charge of the </w:t>
      </w:r>
      <w:r>
        <w:rPr>
          <w:rFonts w:eastAsia="Times New Roman" w:cs="Times New Roman" w:ascii="Times New Roman" w:hAnsi="Times New Roman"/>
          <w:b w:val="false"/>
          <w:i/>
          <w:iCs/>
          <w:sz w:val="24"/>
          <w:szCs w:val="24"/>
        </w:rPr>
        <w:t>guṭha</w:t>
      </w:r>
      <w:r>
        <w:rPr>
          <w:rFonts w:eastAsia="Times New Roman" w:cs="Times New Roman" w:ascii="Times New Roman" w:hAnsi="Times New Roman"/>
          <w:b w:val="false"/>
          <w:sz w:val="24"/>
          <w:szCs w:val="24"/>
        </w:rPr>
        <w:t xml:space="preserve">] immediately. He said, too, that he (i.e., Bhājudhana) would return it. [However,] when we went to his house to ask for it back, he said: "I will return it [only] after enjoying it for some [more] years. Tell Baṃba Sāha 6 today that [I,] Bhājudhana, [have] handed the </w:t>
      </w:r>
      <w:r>
        <w:rPr>
          <w:rFonts w:eastAsia="Times New Roman" w:cs="Times New Roman" w:ascii="Times New Roman" w:hAnsi="Times New Roman"/>
          <w:b w:val="false"/>
          <w:i/>
          <w:iCs/>
          <w:sz w:val="24"/>
          <w:szCs w:val="24"/>
        </w:rPr>
        <w:t>guṭha</w:t>
      </w:r>
      <w:r>
        <w:rPr>
          <w:rFonts w:eastAsia="Times New Roman" w:cs="Times New Roman" w:ascii="Times New Roman" w:hAnsi="Times New Roman"/>
          <w:b w:val="false"/>
          <w:sz w:val="24"/>
          <w:szCs w:val="24"/>
        </w:rPr>
        <w:t xml:space="preserve"> over." We were not satisfied with this [proposition] and went to make petition to Baṃba Sāha.</w:t>
      </w:r>
    </w:p>
    <w:p>
      <w:pPr>
        <w:pStyle w:val="Normal"/>
        <w:rPr/>
      </w:pPr>
      <w:r>
        <w:rPr/>
      </w:r>
    </w:p>
    <w:p>
      <w:pPr>
        <w:pStyle w:val="Heading1"/>
        <w:keepNext w:val="false"/>
        <w:keepLines w:val="false"/>
        <w:rPr>
          <w:b w:val="false"/>
          <w:b w:val="false"/>
          <w:color w:val="000000"/>
          <w:sz w:val="46"/>
          <w:szCs w:val="46"/>
        </w:rPr>
      </w:pPr>
      <w:r>
        <w:rPr>
          <w:b w:val="false"/>
          <w:color w:val="000000"/>
          <w:sz w:val="46"/>
          <w:szCs w:val="46"/>
        </w:rPr>
        <w:t>Commentary</w:t>
      </w:r>
    </w:p>
    <w:p>
      <w:pPr>
        <w:pStyle w:val="Normal"/>
        <w:rPr/>
      </w:pPr>
      <w:r>
        <w:rPr/>
        <w:t>This document is the first in a series of documents concerning a legal issue that arose in 1802 over the ownership of the Luthāma (lit. golden pillars) Guṭha. According to the NGMPP catalogue card, these copied documents were in the collection of #pen{ Manoj Rajopadhyaya }# of Kathmandu. In the current document, Rāmānanda Bā̃ḍā explains how in the year VS 1859 he realized that Bhājudhana Jaisi was misusing his authority over the Luthāma Guṭha, and how he made petition to Rudravīra Sāha, wherein he justified his claim to regain control of the guṭhī. Rudravīra's order to Bhājudhana to immediately return charge of the guṭhī went unheeded, and Rāmānanda had to make petition to Bam Sāha instead.</w:t>
      </w:r>
    </w:p>
    <w:p>
      <w:pPr>
        <w:pStyle w:val="Normal"/>
        <w:rPr/>
      </w:pPr>
      <w:r>
        <w:rPr/>
      </w:r>
    </w:p>
    <w:p>
      <w:pPr>
        <w:pStyle w:val="Normal"/>
        <w:rPr/>
      </w:pPr>
      <w:r>
        <w:rPr/>
        <w:t>The document omits dates and the name of the writer. However, it mentions the year VS (18)59 in its main body, and since document E_2253_0015B, which is Cautariyā Bam Sāha's response to the writer's petition, is dated Śrāvaṇa of that year, we can safely assume that the period this document covers lies within the first four months of the year. Similarly, the writer can be determined to have been Rāmānanda Bā̃ḍā, as E_2253_0015B is addressed to him.</w:t>
      </w:r>
    </w:p>
    <w:p>
      <w:pPr>
        <w:pStyle w:val="Normal"/>
        <w:rPr/>
      </w:pPr>
      <w:r>
        <w:rPr/>
      </w:r>
    </w:p>
    <w:p>
      <w:pPr>
        <w:pStyle w:val="Normal"/>
        <w:widowControl/>
        <w:bidi w:val="0"/>
        <w:spacing w:lineRule="auto" w:line="360" w:before="0" w:after="200"/>
        <w:jc w:val="both"/>
        <w:rPr/>
      </w:pPr>
      <w:r>
        <w:rPr/>
        <w:t>As the document mentions, the disputed Luthāma Guṭhī was established when Jīvarāja Bā̃ḍā donated the vimāna to the chariot of Matsyendranātha. Jīvarāja, with whom the writer of the document claimed ancestry, was a resident of Oku Bāhāla 8 in Patan and is credited with completing Mahābuddha Temple</w:t>
      </w:r>
      <w:r>
        <w:rPr>
          <w:rStyle w:val="FootnoteAnchor"/>
        </w:rPr>
        <w:footnoteReference w:id="4"/>
      </w:r>
      <w:r>
        <w:rPr/>
        <w:t>.</w:t>
      </w:r>
    </w:p>
    <w:sectPr>
      <w:footnotePr>
        <w:numFmt w:val="decimal"/>
      </w:footnotePr>
      <w:type w:val="nextPage"/>
      <w:pgSz w:w="11906" w:h="16838"/>
      <w:pgMar w:left="1417" w:right="1417" w:header="0" w:top="1417" w:footer="0" w:bottom="1134"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ulip Withanage" w:date="2020-10-23T16:07:00Z" w:initials="">
    <w:p>
      <w:r>
        <w:rPr>
          <w:rFonts w:ascii="Arial" w:hAnsi="Arial" w:eastAsia="Arial" w:cs="Arial"/>
          <w:color w:val="000000"/>
          <w:sz w:val="22"/>
          <w:szCs w:val="22"/>
          <w:lang w:val="en-US" w:eastAsia="en-US" w:bidi="en-US"/>
        </w:rPr>
        <w:t>&lt;surface  xml:id="surface1" facs:” &gt;  &lt;zone xml:id=”space1”/&gt;&lt;/surface&gt;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Nirmala UI">
    <w:charset w:val="01"/>
    <w:family w:val="roman"/>
    <w:pitch w:val="variable"/>
  </w:font>
  <w:font w:name="Courier New">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bookmarkStart w:id="10" w:name="note--3"/>
      <w:r>
        <w:rPr>
          <w:i/>
          <w:iCs/>
          <w:color w:val="000000"/>
        </w:rPr>
        <w:t>Vimāna</w:t>
      </w:r>
      <w:r>
        <w:rPr>
          <w:color w:val="000000"/>
        </w:rPr>
        <w:t xml:space="preserve"> here refers to the structure consisting of gilt metal panels placed around the sanctum of the Buṅgadyo chariot.</w:t>
      </w:r>
      <w:bookmarkEnd w:id="10"/>
    </w:p>
  </w:footnote>
  <w:footnote w:id="3">
    <w:p>
      <w:pPr>
        <w:pStyle w:val="Footnote"/>
        <w:rPr/>
      </w:pPr>
      <w:r>
        <w:rPr>
          <w:rStyle w:val="FootnoteCharacters"/>
        </w:rPr>
        <w:footnoteRef/>
      </w:r>
      <w:r>
        <w:rPr/>
        <w:t xml:space="preserve"> </w:t>
      </w:r>
      <w:bookmarkStart w:id="11" w:name="note--4"/>
      <w:r>
        <w:rPr>
          <w:color w:val="000000"/>
        </w:rPr>
        <w:t xml:space="preserve">Rudravīra Sāha was a son of </w:t>
      </w:r>
      <w:r>
        <w:rPr>
          <w:rStyle w:val="Bkgpersname"/>
          <w:color w:val="000000"/>
        </w:rPr>
        <w:t>Vīrabāhu Sāha</w:t>
      </w:r>
      <w:r>
        <w:rPr>
          <w:color w:val="000000"/>
        </w:rPr>
        <w:t xml:space="preserve"> and a younger brother of </w:t>
      </w:r>
      <w:hyperlink r:id="rId1">
        <w:bookmarkEnd w:id="11"/>
        <w:r>
          <w:rPr>
            <w:rStyle w:val="InternetLink"/>
            <w:i/>
            <w:iCs/>
          </w:rPr>
          <w:t>Cautariyā</w:t>
        </w:r>
      </w:hyperlink>
      <w:r>
        <w:rPr/>
        <w:t xml:space="preserve"> Bam Sāha. He held administrative positions at the district level at the end of the eighteenth century and during the early years of the nineteenth century (see RRS 19(1): 6). His posts include </w:t>
      </w:r>
      <w:hyperlink r:id="rId2">
        <w:r>
          <w:rPr>
            <w:rStyle w:val="InternetLink"/>
            <w:i/>
            <w:iCs/>
          </w:rPr>
          <w:t>subba</w:t>
        </w:r>
      </w:hyperlink>
      <w:r>
        <w:rPr/>
        <w:t xml:space="preserve"> of </w:t>
      </w:r>
      <w:r>
        <w:rPr>
          <w:rStyle w:val="Bkgplacename"/>
        </w:rPr>
        <w:t>Kumaun</w:t>
      </w:r>
      <w:r>
        <w:rPr/>
        <w:t xml:space="preserve"> at least until VS 1863 and of </w:t>
      </w:r>
      <w:r>
        <w:rPr>
          <w:rStyle w:val="Bkgplacename"/>
        </w:rPr>
        <w:t>Salyan</w:t>
      </w:r>
      <w:r>
        <w:rPr/>
        <w:t xml:space="preserve"> in VS 1866.</w:t>
      </w:r>
    </w:p>
  </w:footnote>
  <w:footnote w:id="4">
    <w:p>
      <w:pPr>
        <w:pStyle w:val="Footnote"/>
        <w:rPr/>
      </w:pPr>
      <w:r>
        <w:rPr>
          <w:rStyle w:val="FootnoteCharacters"/>
        </w:rPr>
        <w:footnoteRef/>
      </w:r>
      <w:r>
        <w:rPr/>
        <w:t xml:space="preserve"> </w:t>
      </w:r>
      <w:bookmarkStart w:id="12" w:name="note--9"/>
      <w:r>
        <w:rPr>
          <w:color w:val="000000"/>
        </w:rPr>
        <w:t xml:space="preserve">Alternatively known as Bodhimaṇḍapa Vihāra, and sometimes wrongly spelled as Mahābauddha, this </w:t>
      </w:r>
      <w:r>
        <w:rPr>
          <w:i/>
          <w:iCs/>
          <w:color w:val="000000"/>
        </w:rPr>
        <w:t>śikhara</w:t>
      </w:r>
      <w:r>
        <w:rPr>
          <w:color w:val="000000"/>
        </w:rPr>
        <w:t xml:space="preserve"> styled temple is a branch of </w:t>
      </w:r>
      <w:r>
        <w:rPr/>
        <w:t>#pln{</w:t>
      </w:r>
      <w:r>
        <w:rPr>
          <w:color w:val="000000"/>
        </w:rPr>
        <w:t xml:space="preserve"> Oku Bāhāla</w:t>
      </w:r>
      <w:r>
        <w:rPr/>
        <w:t xml:space="preserve"> }#</w:t>
      </w:r>
      <w:r>
        <w:rPr>
          <w:color w:val="000000"/>
        </w:rPr>
        <w:t xml:space="preserve">. For an inventory of this temple in the DANAM database, see: </w:t>
      </w:r>
      <w:hyperlink r:id="rId3">
        <w:bookmarkEnd w:id="12"/>
        <w:r>
          <w:rPr>
            <w:rStyle w:val="InternetLink"/>
          </w:rPr>
          <w:t>https://danam.cats.uni-heidelberg.de/report/9d5039d0-e979-11e9-8bc4-0242ac130002</w:t>
        </w:r>
      </w:hyperlink>
      <w:r>
        <w:rPr/>
        <w:t>.</w:t>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200"/>
      <w:jc w:val="both"/>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uiPriority w:val="9"/>
    <w:qFormat/>
    <w:pPr>
      <w:keepNext w:val="true"/>
      <w:keepLines/>
      <w:spacing w:before="480" w:after="120"/>
      <w:outlineLvl w:val="0"/>
    </w:pPr>
    <w:rPr>
      <w:rFonts w:ascii="Arial" w:hAnsi="Arial" w:eastAsia="Arial" w:cs="Arial"/>
      <w:b/>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uiPriority w:val="9"/>
    <w:semiHidden/>
    <w:unhideWhenUsed/>
    <w:qFormat/>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uiPriority w:val="9"/>
    <w:semiHidden/>
    <w:unhideWhenUsed/>
    <w:qFormat/>
    <w:pPr>
      <w:keepNext w:val="true"/>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val="true"/>
      <w:keepLines/>
      <w:spacing w:before="200" w:after="0"/>
      <w:outlineLvl w:val="4"/>
    </w:pPr>
    <w:rPr>
      <w:rFonts w:ascii="Cambria" w:hAnsi="Cambria" w:eastAsia="Cambria" w:cs="Cambria"/>
      <w:color w:val="243F61"/>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91fe2"/>
    <w:rPr>
      <w:rFonts w:ascii="Segoe UI" w:hAnsi="Segoe UI" w:cs="Segoe UI"/>
      <w:sz w:val="18"/>
      <w:szCs w:val="18"/>
    </w:rPr>
  </w:style>
  <w:style w:type="character" w:styleId="FootnoteTextChar" w:customStyle="1">
    <w:name w:val="Footnote Text Char"/>
    <w:basedOn w:val="DefaultParagraphFont"/>
    <w:link w:val="FootnoteText"/>
    <w:uiPriority w:val="99"/>
    <w:semiHidden/>
    <w:qFormat/>
    <w:rsid w:val="007c7590"/>
    <w:rPr>
      <w:sz w:val="20"/>
      <w:szCs w:val="20"/>
    </w:rPr>
  </w:style>
  <w:style w:type="character" w:styleId="FootnoteCharacters">
    <w:name w:val="Footnote Characters"/>
    <w:basedOn w:val="DefaultParagraphFont"/>
    <w:uiPriority w:val="99"/>
    <w:semiHidden/>
    <w:unhideWhenUsed/>
    <w:qFormat/>
    <w:rsid w:val="007c7590"/>
    <w:rPr>
      <w:vertAlign w:val="superscript"/>
    </w:rPr>
  </w:style>
  <w:style w:type="character" w:styleId="FootnoteAnchor">
    <w:name w:val="Footnote Anchor"/>
    <w:rPr>
      <w:vertAlign w:val="superscript"/>
    </w:rPr>
  </w:style>
  <w:style w:type="character" w:styleId="Bkgpersname" w:customStyle="1">
    <w:name w:val="bkgpersname"/>
    <w:basedOn w:val="DefaultParagraphFont"/>
    <w:qFormat/>
    <w:rsid w:val="00ca0183"/>
    <w:rPr/>
  </w:style>
  <w:style w:type="character" w:styleId="InternetLink">
    <w:name w:val="Hyperlink"/>
    <w:basedOn w:val="DefaultParagraphFont"/>
    <w:uiPriority w:val="99"/>
    <w:semiHidden/>
    <w:unhideWhenUsed/>
    <w:rsid w:val="00ca0183"/>
    <w:rPr>
      <w:color w:val="0000FF"/>
      <w:u w:val="single"/>
    </w:rPr>
  </w:style>
  <w:style w:type="character" w:styleId="Bkgplacename" w:customStyle="1">
    <w:name w:val="bkgplacename"/>
    <w:basedOn w:val="DefaultParagraphFont"/>
    <w:qFormat/>
    <w:rsid w:val="00ca0183"/>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291fe2"/>
    <w:pPr>
      <w:spacing w:lineRule="auto" w:line="240" w:before="0" w:after="0"/>
    </w:pPr>
    <w:rPr>
      <w:rFonts w:ascii="Segoe UI" w:hAnsi="Segoe UI" w:cs="Segoe UI"/>
      <w:sz w:val="18"/>
      <w:szCs w:val="18"/>
    </w:rPr>
  </w:style>
  <w:style w:type="paragraph" w:styleId="Footnote">
    <w:name w:val="Footnote Text"/>
    <w:basedOn w:val="Normal"/>
    <w:link w:val="FootnoteTextChar"/>
    <w:uiPriority w:val="99"/>
    <w:semiHidden/>
    <w:unhideWhenUsed/>
    <w:rsid w:val="007c7590"/>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nepalica.hadw-bw.de/nepal/words/viewitem/901" TargetMode="External"/><Relationship Id="rId2" Type="http://schemas.openxmlformats.org/officeDocument/2006/relationships/hyperlink" Target="https://nepalica.hadw-bw.de/nepal/words/viewitem/1109" TargetMode="External"/><Relationship Id="rId3" Type="http://schemas.openxmlformats.org/officeDocument/2006/relationships/hyperlink" Target="https://danam.cats.uni-heidelberg.de/report/9d5039d0-e979-11e9-8bc4-0242ac1300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293C3-F86D-4AF8-AF95-537F319E8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LibreOffice/6.4.6.2$Linux_X86_64 LibreOffice_project/40$Build-2</Application>
  <Pages>5</Pages>
  <Words>901</Words>
  <Characters>4710</Characters>
  <CharactersWithSpaces>5559</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2020-12-03T08:15:00Z</dcterms:created>
  <dc:creator>Simon</dc:creator>
  <dc:description/>
  <dc:language>en-US</dc:language>
  <cp:lastModifiedBy/>
  <dcterms:modified xsi:type="dcterms:W3CDTF">2020-12-09T06:41:37Z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