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 xml:space="preserve">स्वस्ति </w:t>
      </w:r>
      <w:r>
        <w:rPr>
          <w:rFonts w:eastAsia="Palanquin Dark" w:cs="Nirmala UI" w:ascii="Nirmala UI" w:hAnsi="Nirmala UI"/>
        </w:rPr>
        <w:t>#SE#SB</w:t>
      </w:r>
      <w:r>
        <w:rPr>
          <w:rFonts w:ascii="Nirmala UI" w:hAnsi="Nirmala UI" w:eastAsia="Palanquin Dark" w:cs="Nirmala UI"/>
        </w:rPr>
        <w:t>श्रीमन्महाराजाधि</w:t>
      </w:r>
    </w:p>
    <w:p>
      <w:pPr>
        <w:pStyle w:val="Normal"/>
        <w:spacing w:lineRule="auto" w:line="240" w:before="280" w:after="280"/>
        <w:ind w:left="90" w:hanging="0"/>
        <w:rPr>
          <w:rFonts w:ascii="Nirmala UI" w:hAnsi="Nirmala UI" w:eastAsia="Palanquin Dark" w:cs="Nirmala UI"/>
        </w:rPr>
      </w:pPr>
      <w:r>
        <w:rPr>
          <w:rFonts w:eastAsia="Palanquin Dark" w:cs="Nirmala UI" w:ascii="Arial;sans-serif" w:hAnsi="Arial;sans-serif"/>
          <w:sz w:val="24"/>
          <w:lang w:val="en-US"/>
        </w:rPr>
        <w:t>#&amp;{</w:t>
      </w:r>
      <w:r>
        <w:rPr>
          <w:rFonts w:ascii="Nirmala UI" w:hAnsi="Nirmala UI" w:eastAsia="Palanquin Dark" w:cs="Mangal;serif"/>
          <w:szCs w:val="24"/>
          <w:lang w:bidi="hi-IN"/>
        </w:rPr>
        <w:t>सल्याना</w:t>
      </w:r>
      <w:r>
        <w:rPr>
          <w:rFonts w:eastAsia="Palanquin Dark" w:cs="Nirmala UI" w:ascii="Arial;sans-serif" w:hAnsi="Arial;sans-serif"/>
          <w:sz w:val="24"/>
          <w:lang w:val="en-US"/>
        </w:rPr>
        <w:t>}#</w:t>
      </w:r>
      <w:r>
        <w:rPr>
          <w:rFonts w:ascii="Nirmala UI" w:hAnsi="Nirmala UI" w:eastAsia="Palanquin Dark" w:cs="Mangal;serif"/>
          <w:szCs w:val="24"/>
          <w:lang w:bidi="hi-IN"/>
        </w:rPr>
        <w:t xml:space="preserve">का  </w:t>
      </w:r>
      <w:r>
        <w:rPr>
          <w:rFonts w:eastAsia="Palanquin Dark" w:cs="Nirmala UI" w:ascii="Nirmala UI" w:hAnsi="Nirmala UI"/>
          <w:szCs w:val="24"/>
          <w:lang w:bidi="hi-IN"/>
        </w:rPr>
        <w:t>#&amp;@below_the</w:t>
      </w:r>
      <w:r>
        <w:rPr>
          <w:rFonts w:eastAsia="Palanquin Dark" w:cs="Calibri" w:ascii="Calibri" w:hAnsi="Calibri"/>
          <w:szCs w:val="24"/>
          <w:lang w:bidi="hi-IN"/>
        </w:rPr>
        <w:t>_line@second</w:t>
      </w:r>
      <w:r>
        <w:rPr>
          <w:rFonts w:eastAsia="Palanquin Dark" w:cs="Nirmala UI" w:ascii="Nirmala UI" w:hAnsi="Nirmala UI"/>
          <w:szCs w:val="24"/>
          <w:lang w:bidi="hi-IN"/>
        </w:rPr>
        <w:t>{</w:t>
      </w:r>
      <w:bookmarkStart w:id="9" w:name="__DdeLink__489_37279231523"/>
      <w:r>
        <w:rPr>
          <w:rFonts w:ascii="Nirmala UI" w:hAnsi="Nirmala UI" w:eastAsia="Palanquin Dark" w:cs="Nirmala UI"/>
          <w:szCs w:val="24"/>
          <w:lang w:bidi="hi-IN"/>
        </w:rPr>
        <w:t>नाम</w:t>
      </w:r>
      <w:bookmarkEnd w:id="9"/>
      <w:r>
        <w:rPr>
          <w:rFonts w:eastAsia="Palanquin Dark" w:cs="Nirmala UI" w:ascii="Nirmala UI" w:hAnsi="Nirmala UI"/>
          <w:szCs w:val="24"/>
          <w:lang w:bidi="hi-IN"/>
        </w:rPr>
        <w:t>}##&amp;@below_the</w:t>
      </w:r>
      <w:r>
        <w:rPr>
          <w:rFonts w:eastAsia="Palanquin Dark" w:cs="Calibri" w:ascii="Calibri" w:hAnsi="Calibri"/>
          <w:szCs w:val="24"/>
          <w:lang w:bidi="hi-IN"/>
        </w:rPr>
        <w:t>_line@second</w:t>
      </w:r>
      <w:r>
        <w:rPr>
          <w:rFonts w:eastAsia="Palanquin Dark" w:cs="Nirmala UI" w:ascii="Nirmala UI" w:hAnsi="Nirmala UI"/>
          <w:szCs w:val="24"/>
          <w:lang w:bidi="hi-IN"/>
        </w:rPr>
        <w:t>{</w:t>
      </w:r>
      <w:bookmarkStart w:id="10" w:name="__DdeLink__489_37279231524"/>
      <w:r>
        <w:rPr>
          <w:rFonts w:ascii="Nirmala UI" w:hAnsi="Nirmala UI" w:eastAsia="Palanquin Dark" w:cs="Nirmala UI"/>
          <w:szCs w:val="24"/>
          <w:lang w:bidi="hi-IN"/>
        </w:rPr>
        <w:t>नाम</w:t>
      </w:r>
      <w:bookmarkEnd w:id="10"/>
      <w:r>
        <w:rPr>
          <w:rFonts w:eastAsia="Palanquin Dark" w:cs="Nirmala UI" w:ascii="Nirmala UI" w:hAnsi="Nirmala UI"/>
          <w:szCs w:val="24"/>
          <w:lang w:bidi="hi-IN"/>
        </w:rPr>
        <w:t>}#</w:t>
      </w:r>
    </w:p>
    <w:p>
      <w:pPr>
        <w:pStyle w:val="Normal"/>
        <w:spacing w:lineRule="auto" w:line="240" w:before="280" w:after="280"/>
        <w:ind w:left="90" w:hanging="0"/>
        <w:rPr>
          <w:rFonts w:ascii="Nirmala UI" w:hAnsi="Nirmala UI" w:eastAsia="Palanquin Dark" w:cs="Nirmala UI"/>
        </w:rPr>
      </w:pPr>
      <w:r>
        <w:rPr>
          <w:rFonts w:ascii="Nirmala UI" w:hAnsi="Nirmala UI" w:eastAsia="Palanquin Dark" w:cs="Nirmala UI"/>
        </w:rPr>
        <w:t>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p>
    <w:p>
      <w:pPr>
        <w:pStyle w:val="Normal"/>
        <w:spacing w:lineRule="auto" w:line="240" w:before="280" w:after="280"/>
        <w:ind w:left="90" w:hanging="0"/>
        <w:rPr>
          <w:rFonts w:ascii="Nirmala UI" w:hAnsi="Nirmala UI" w:eastAsia="Arial" w:cs="Nirmala UI"/>
          <w:lang w:val="de-DE"/>
        </w:rPr>
      </w:pPr>
      <w:r>
        <w:rPr>
          <w:rFonts w:eastAsia="Arial" w:cs="Nirmala UI" w:ascii="Arial;sans-serif" w:hAnsi="Arial;sans-serif"/>
          <w:sz w:val="24"/>
          <w:lang w:val="en-US"/>
        </w:rPr>
        <w:t>#&amp;{</w:t>
      </w:r>
      <w:r>
        <w:rPr>
          <w:rFonts w:ascii="Nirmala UI" w:hAnsi="Nirmala UI" w:eastAsia="Arial" w:cs="Mangal;serif"/>
          <w:szCs w:val="24"/>
          <w:lang w:val="de-DE" w:bidi="hi-IN"/>
        </w:rPr>
        <w:t>सल्याना</w:t>
      </w:r>
      <w:r>
        <w:rPr>
          <w:rFonts w:eastAsia="Arial" w:cs="Nirmala UI" w:ascii="Arial;sans-serif" w:hAnsi="Arial;sans-serif"/>
          <w:sz w:val="24"/>
          <w:lang w:val="en-US"/>
        </w:rPr>
        <w:t>}#</w:t>
      </w:r>
      <w:r>
        <w:rPr>
          <w:rFonts w:ascii="Nirmala UI" w:hAnsi="Nirmala UI" w:eastAsia="Arial" w:cs="Mangal;serif"/>
          <w:szCs w:val="24"/>
          <w:lang w:val="de-DE" w:bidi="hi-IN"/>
        </w:rPr>
        <w:t xml:space="preserve">का </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t xml:space="preserve">#&amp;@x@y{ </w:t>
      </w:r>
      <w:r>
        <w:rPr>
          <w:rFonts w:ascii="Arial" w:hAnsi="Arial" w:eastAsia="Arial" w:cs="Arial"/>
        </w:rPr>
        <w:t xml:space="preserve">सल्य  सल्याना  </w:t>
      </w:r>
      <w:r>
        <w:rPr>
          <w:rFonts w:eastAsia="Arial" w:cs="Arial" w:ascii="Arial" w:hAnsi="Arial"/>
        </w:rPr>
        <w:t>}#</w:t>
      </w:r>
      <w:r>
        <w:rPr>
          <w:rFonts w:ascii="Arial" w:hAnsi="Arial" w:eastAsia="Arial" w:cs="Arial"/>
        </w:rPr>
        <w:t>का</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t>#&amp;{</w:t>
      </w:r>
      <w:r>
        <w:rPr>
          <w:rFonts w:ascii="Arial" w:hAnsi="Arial" w:eastAsia="Arial" w:cs="Arial"/>
        </w:rPr>
        <w:t xml:space="preserve">सल्याना ाना ाना </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1" w:name="_a4k321qy8pcy"/>
      <w:bookmarkStart w:id="12" w:name="_a4k321qy8pcy"/>
      <w:bookmarkEnd w:id="12"/>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bookmarkStart w:id="13" w:name="__DdeLink__489_3727923152"/>
      <w:r>
        <w:rPr>
          <w:rFonts w:ascii="Nirmala UI" w:hAnsi="Nirmala UI" w:cs="Nirmala UI"/>
        </w:rPr>
        <w:t>नाम</w:t>
      </w:r>
      <w:bookmarkEnd w:id="13"/>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Arial">
    <w:altName w:val="sans-serif"/>
    <w:charset w:val="01"/>
    <w:family w:val="auto"/>
    <w:pitch w:val="default"/>
  </w:font>
  <w:font w:name="Calibri">
    <w:charset w:val="01"/>
    <w:family w:val="roman"/>
    <w:pitch w:val="variable"/>
  </w:font>
  <w:font w:name="Palanquin Dark">
    <w:charset w:val="01"/>
    <w:family w:val="roman"/>
    <w:pitch w:val="variable"/>
  </w:font>
  <w:font w:name="Arial">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6"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6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Application>LibreOffice/6.4.6.2$Linux_X86_64 LibreOffice_project/40$Build-2</Application>
  <Pages>6</Pages>
  <Words>1016</Words>
  <Characters>5381</Characters>
  <CharactersWithSpaces>6328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2020-12-12T20:58:34Z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