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108" w:type="dxa"/>
        <w:tblCellMar>
          <w:top w:w="0" w:type="dxa"/>
          <w:left w:w="108" w:type="dxa"/>
          <w:bottom w:w="0" w:type="dxa"/>
          <w:right w:w="108" w:type="dxa"/>
        </w:tblCellMar>
      </w:tblPr>
      <w:tblGrid>
        <w:gridCol w:w="4348"/>
        <w:gridCol w:w="4802"/>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NGMPP E 2253/15</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2"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pPr>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
    </w:p>
    <w:p>
      <w:pPr>
        <w:pStyle w:val="Heading1"/>
        <w:keepNext w:val="false"/>
        <w:keepLines w:val="false"/>
        <w:rPr>
          <w:b w:val="false"/>
          <w:b w:val="false"/>
          <w:color w:val="000000"/>
          <w:sz w:val="46"/>
          <w:szCs w:val="46"/>
        </w:rPr>
      </w:pPr>
      <w:bookmarkStart w:id="1" w:name="_rdifyynzwlgu"/>
      <w:bookmarkEnd w:id="1"/>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b w:val="false"/>
          <w:b w:val="false"/>
          <w:sz w:val="46"/>
          <w:szCs w:val="46"/>
        </w:rPr>
      </w:pPr>
      <w:bookmarkStart w:id="2" w:name="_2q9tj211wfsd"/>
      <w:bookmarkEnd w:id="2"/>
      <w:r>
        <w:rPr>
          <w:b w:val="false"/>
          <w:sz w:val="46"/>
          <w:szCs w:val="46"/>
        </w:rPr>
        <w:t>Edition (nep-san)</w:t>
      </w:r>
    </w:p>
    <w:p>
      <w:pPr>
        <w:pStyle w:val="Heading2"/>
        <w:spacing w:lineRule="auto" w:line="240" w:before="280" w:after="280"/>
        <w:ind w:left="90" w:right="0" w:hanging="0"/>
        <w:rPr/>
      </w:pPr>
      <w:bookmarkStart w:id="3" w:name="_pn9xbu6k6tf0"/>
      <w:bookmarkEnd w:id="3"/>
      <w:r>
        <w:rPr/>
        <w:t>pb@#surface1@1r</w:t>
      </w:r>
    </w:p>
    <w:p>
      <w:pPr>
        <w:pStyle w:val="Heading2"/>
        <w:spacing w:lineRule="auto" w:line="240" w:before="280" w:after="280"/>
        <w:ind w:left="90" w:right="0" w:hanging="0"/>
        <w:rPr/>
      </w:pPr>
      <w:bookmarkStart w:id="4" w:name="_fu12v0foqj4i"/>
      <w:bookmarkEnd w:id="4"/>
      <w:r>
        <w:rPr/>
        <w:t>ab</w:t>
      </w:r>
      <w:r>
        <w:rPr>
          <w:color w:val="FF0000"/>
        </w:rPr>
        <w:t>@#invocatio@invocatio</w:t>
      </w:r>
    </w:p>
    <w:p>
      <w:pPr>
        <w:pStyle w:val="Normal"/>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right="0" w:hanging="0"/>
        <w:rPr/>
      </w:pPr>
      <w:bookmarkStart w:id="5" w:name="_r7swz7akyvp"/>
      <w:bookmarkEnd w:id="5"/>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right="0" w:hanging="0"/>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right="0" w:hanging="0"/>
        <w:rPr/>
      </w:pPr>
      <w:bookmarkStart w:id="6" w:name="_ghwfu4k0wdru"/>
      <w:bookmarkStart w:id="7" w:name="_dlzeesqam4xg"/>
      <w:bookmarkEnd w:id="6"/>
      <w:bookmarkEnd w:id="7"/>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right="0" w:hanging="0"/>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bookmarkStart w:id="8" w:name="__DdeLink__481_2636192520"/>
      <w:r>
        <w:rPr>
          <w:rFonts w:ascii="Nirmala UI" w:hAnsi="Nirmala UI" w:eastAsia="Palanquin Dark" w:cs="Nirmala UI"/>
        </w:rPr>
        <w:t>रुक्का</w:t>
      </w:r>
      <w:r>
        <w:rPr>
          <w:rFonts w:eastAsia="Palanquin Dark" w:cs="Nirmala UI" w:ascii="Nirmala UI" w:hAnsi="Nirmala UI"/>
        </w:rPr>
        <w:t>-#SE</w:t>
      </w:r>
      <w:bookmarkEnd w:id="8"/>
    </w:p>
    <w:p>
      <w:pPr>
        <w:pStyle w:val="Normal"/>
        <w:spacing w:lineRule="auto" w:line="240" w:before="280" w:after="280"/>
        <w:ind w:left="90" w:right="0" w:hanging="0"/>
        <w:rPr/>
      </w:pPr>
      <w:r>
        <w:rPr>
          <w:rFonts w:eastAsia="Arial" w:cs="Nirmala UI" w:ascii="Nirmala UI" w:hAnsi="Nirmala UI"/>
        </w:rPr>
        <w:t>#SB</w:t>
      </w:r>
      <w:r>
        <w:rPr>
          <w:rFonts w:ascii="Nirmala UI" w:hAnsi="Nirmala UI" w:eastAsia="Arial" w:cs="Nirmala UI"/>
          <w:lang w:val="de-DE"/>
        </w:rPr>
        <w:t>आगे</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पाटनका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cs="Nirmala UI" w:ascii="Nirmala UI" w:hAnsi="Nirmala UI"/>
        </w:rPr>
        <w:t>}#</w:t>
      </w:r>
      <w:r>
        <w:rPr>
          <w:rFonts w:eastAsia="Arial" w:cs="Arial" w:ascii="Arial" w:hAnsi="Arial"/>
        </w:rPr>
        <w:t xml:space="preserve"> #pln{</w:t>
      </w:r>
      <w:r>
        <w:rPr>
          <w:rFonts w:ascii="Nirmala UI" w:hAnsi="Nirmala UI" w:eastAsia="Arial" w:cs="Nirmala UI"/>
          <w:lang w:val="de-DE"/>
        </w:rPr>
        <w:t>महावुद्ध</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cs="Nirmala UI" w:ascii="Nirmala UI" w:hAnsi="Nirmala UI"/>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right="0" w:hanging="0"/>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bookmarkStart w:id="9" w:name="__DdeLink__479_2636192520"/>
      <w:r>
        <w:rPr>
          <w:rFonts w:ascii="Nirmala UI" w:hAnsi="Nirmala UI" w:eastAsia="Arial" w:cs="Nirmala UI"/>
          <w:lang w:val="de-DE"/>
        </w:rPr>
        <w:t>का</w:t>
      </w:r>
      <w:r>
        <w:rPr>
          <w:rFonts w:eastAsia="Arial" w:cs="Arial" w:ascii="Arial" w:hAnsi="Arial"/>
        </w:rPr>
        <w:t>-</w:t>
      </w:r>
      <w:bookmarkEnd w:id="9"/>
    </w:p>
    <w:p>
      <w:pPr>
        <w:pStyle w:val="Normal"/>
        <w:spacing w:lineRule="auto" w:line="240" w:before="280" w:after="280"/>
        <w:ind w:left="90" w:right="0" w:hanging="0"/>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W w:w="5000" w:type="pct"/>
        <w:jc w:val="left"/>
        <w:tblInd w:w="100" w:type="dxa"/>
        <w:tblCellMar>
          <w:top w:w="100" w:type="dxa"/>
          <w:left w:w="100" w:type="dxa"/>
          <w:bottom w:w="100" w:type="dxa"/>
          <w:right w:w="100" w:type="dxa"/>
        </w:tblCellMar>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tcPr>
          <w:p>
            <w:pPr>
              <w:pStyle w:val="Normal"/>
              <w:spacing w:lineRule="auto" w:line="240" w:before="280" w:after="280"/>
              <w:ind w:left="90" w:right="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tcPr>
          <w:p>
            <w:pPr>
              <w:pStyle w:val="Normal"/>
              <w:spacing w:lineRule="auto" w:line="240" w:before="280" w:after="280"/>
              <w:ind w:left="90" w:right="0" w:hanging="0"/>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tcPr>
          <w:p>
            <w:pPr>
              <w:pStyle w:val="Normal"/>
              <w:spacing w:lineRule="auto" w:line="240" w:before="280" w:after="280"/>
              <w:ind w:left="90" w:right="0" w:hanging="0"/>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w:t>
      </w:r>
      <w:r>
        <w:rPr>
          <w:rFonts w:cs="Nirmala UI" w:ascii="Nirmala UI" w:hAnsi="Nirmala UI"/>
        </w:rPr>
        <w:t>@chars</w:t>
      </w:r>
      <w:r>
        <w:rPr>
          <w:rFonts w:cs="Nirmala UI" w:ascii="Nirmala UI" w:hAnsi="Nirmala UI"/>
        </w:rPr>
        <w:t xml:space="preserve">#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#?@middle{</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2" w:name="_wob5lbahqu0g"/>
      <w:bookmarkStart w:id="13" w:name="_de5sby1d4000"/>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4" w:name="note--2"/>
      <w:r>
        <w:rPr>
          <w:color w:val="000000"/>
        </w:rPr>
        <w:t>The name of the king is not mentioned here, but it is evident from the date of the document that it was #pen{</w:t>
      </w:r>
      <w:r>
        <w:rPr>
          <w:rStyle w:val="Bkgpersname"/>
          <w:color w:val="000000"/>
        </w:rPr>
        <w:t xml:space="preserve">Gīrvāṇayuddha </w:t>
      </w:r>
      <w:bookmarkStart w:id="15" w:name="__DdeLink__730_3251051018"/>
      <w:r>
        <w:rPr>
          <w:rStyle w:val="Bkgpersname"/>
          <w:color w:val="000000"/>
        </w:rPr>
        <w:t>Vikrama</w:t>
      </w:r>
      <w:bookmarkEnd w:id="15"/>
      <w:r>
        <w:rPr>
          <w:rStyle w:val="Bkgpersname"/>
          <w:color w:val="000000"/>
        </w:rPr>
        <w:t xml:space="preserve">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w:t>
      </w:r>
      <w:bookmarkStart w:id="16" w:name="__DdeLink__725_3251051018"/>
      <w:r>
        <w:rPr/>
        <w:t>interesting</w:t>
      </w:r>
      <w:bookmarkEnd w:id="16"/>
      <w:r>
        <w:rPr/>
        <w:t xml:space="preserve"> very </w:t>
      </w:r>
      <w:r>
        <w:rPr>
          <w:i/>
          <w:iCs/>
        </w:rPr>
        <w:t>gutha tugha</w:t>
      </w:r>
      <w:r>
        <w:rPr/>
        <w:t>.</w:t>
      </w:r>
    </w:p>
  </w:footnote>
  <w:footnote w:id="5">
    <w:p>
      <w:pPr>
        <w:pStyle w:val="Footnote"/>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qFormat/>
    <w:pPr>
      <w:keepNext w:val="true"/>
      <w:keepLines/>
      <w:numPr>
        <w:ilvl w:val="0"/>
        <w:numId w:val="0"/>
      </w:numPr>
      <w:spacing w:before="480" w:after="120"/>
      <w:outlineLvl w:val="0"/>
    </w:pPr>
    <w:rPr>
      <w:rFonts w:ascii="Arial" w:hAnsi="Arial" w:eastAsia="Arial" w:cs="Arial"/>
      <w:b/>
      <w:sz w:val="48"/>
      <w:szCs w:val="48"/>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Cambria" w:cs="Cambria"/>
      <w:b/>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mbria" w:hAnsi="Cambria" w:eastAsia="Cambria" w:cs="Cambria"/>
      <w:b/>
      <w:i/>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mbria" w:hAnsi="Cambria" w:eastAsia="Cambria" w:cs="Cambria"/>
      <w:color w:val="243F61"/>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kgplacename">
    <w:name w:val="bkgplacename"/>
    <w:basedOn w:val="DefaultParagraphFont"/>
    <w:qFormat/>
    <w:rPr/>
  </w:style>
  <w:style w:type="character" w:styleId="Bkgpersname">
    <w:name w:val="bkgpersname"/>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ootnote">
    <w:name w:val="Footnote Text"/>
    <w:basedOn w:val="Normal"/>
    <w:pPr>
      <w:spacing w:lineRule="auto" w:line="240" w:before="0" w:after="0"/>
    </w:pPr>
    <w:rPr>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TotalTime>
  <Application>LibreOffice/6.4.6.2$Linux_X86_64 LibreOffice_project/40$Build-2</Application>
  <Pages>6</Pages>
  <Words>1012</Words>
  <Characters>5333</Characters>
  <CharactersWithSpaces>6278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2020-12-10T18:25:14Z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