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DNA_0001_0097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rPr>
              <w:t>An arjī from Lokaramaṇa Upādhyāya re the departure of the governor general from Calcutta, a meeting with the governor general’s secretary and the British victory in the Battle of Kabul (VS 1899)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An arjī re the departure of the governor general from Calcutta, a meeting with the governor general’s secretary and the British victory in the Battle</w:t>
            </w:r>
          </w:p>
          <w:p>
            <w:pPr>
              <w:pStyle w:val="Normal"/>
              <w:spacing w:before="0" w:after="200"/>
              <w:rPr>
                <w:rFonts w:ascii="Arial" w:hAnsi="Arial" w:eastAsia="Arial" w:cs="Arial"/>
              </w:rPr>
            </w:pPr>
            <w:r>
              <w:rPr>
                <w:rFonts w:eastAsia="Arial" w:cs="Arial" w:ascii="Arial" w:hAnsi="Arial"/>
                <w:color w:val="434343"/>
              </w:rPr>
              <w:t>of Kabul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Lokaramaṇa Upādhyāya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 Simon Cubelic, 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Rabi 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Ms. no. 97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Image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 Academy of Sciences and Humanities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1234567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Nepali</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Sanskrit</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http://abhilekha.adw.uni-heidelberg.de/nepal/catitems/viewitem/1168/1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1842 (VS 1899)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DNA_0001_0523.png:1r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In this letter Lokaramaṇa Upādhyāya reports about the departure of the governor general to the North-Western Provinces, a meeting with the governor general’s secretary and the British military victory in Kabul during the First Anglo-Afghan War (1839–1842).</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ascii="Nirmala UI" w:hAnsi="Nirmala UI" w:eastAsia="Courier New" w:cs="Nirmala UI"/>
          <w:color w:val="080808"/>
        </w:rPr>
        <w:t>श्री</w:t>
      </w:r>
    </w:p>
    <w:p>
      <w:pPr>
        <w:pStyle w:val="Normal"/>
        <w:rPr>
          <w:b w:val="false"/>
          <w:b w:val="false"/>
          <w:bCs w:val="false"/>
          <w:u w:val="none"/>
        </w:rPr>
      </w:pPr>
      <w:r>
        <w:rPr>
          <w:rFonts w:eastAsia="Courier New" w:cs="Mangal;serif" w:ascii="Mangal;serif" w:hAnsi="Mangal;serif"/>
          <w:b w:val="false"/>
          <w:bCs w:val="false"/>
          <w:color w:val="080808"/>
          <w:highlight w:val="white"/>
          <w:u w:val="none"/>
        </w:rPr>
        <w:t>#cor{</w:t>
      </w:r>
      <w:r>
        <w:rPr>
          <w:rFonts w:ascii="Nirmala UI" w:hAnsi="Nirmala UI" w:eastAsia="Courier New" w:cs="Nirmala UI"/>
          <w:b w:val="false"/>
          <w:b w:val="false"/>
          <w:bCs w:val="false"/>
          <w:color w:val="080808"/>
          <w:highlight w:val="white"/>
          <w:u w:val="none"/>
        </w:rPr>
        <w:t>अर्जि</w:t>
      </w:r>
      <w:r>
        <w:rPr>
          <w:rFonts w:eastAsia="Courier New" w:cs="Mangal;serif" w:ascii="Mangal;serif" w:hAnsi="Mangal;serif"/>
          <w:b w:val="false"/>
          <w:bCs w:val="false"/>
          <w:color w:val="080808"/>
          <w:highlight w:val="white"/>
          <w:u w:val="none"/>
        </w:rPr>
        <w:t>#del@overstrike{</w:t>
      </w:r>
      <w:r>
        <w:rPr>
          <w:rFonts w:ascii="Nirmala UI" w:hAnsi="Nirmala UI" w:eastAsia="Courier New" w:cs="Nirmala UI"/>
          <w:b w:val="false"/>
          <w:b w:val="false"/>
          <w:bCs w:val="false"/>
          <w:color w:val="080808"/>
          <w:highlight w:val="white"/>
          <w:u w:val="none"/>
        </w:rPr>
        <w:t>अर्जि</w:t>
      </w:r>
      <w:r>
        <w:rPr>
          <w:rFonts w:eastAsia="Courier New" w:cs="Mangal;serif" w:ascii="Mangal;serif" w:hAnsi="Mangal;serif"/>
          <w:b w:val="false"/>
          <w:bCs w:val="false"/>
          <w:color w:val="080808"/>
          <w:highlight w:val="white"/>
          <w:u w:val="none"/>
        </w:rPr>
        <w:t>}#</w:t>
      </w:r>
      <w:r>
        <w:rPr>
          <w:rFonts w:ascii="Nirmala UI" w:hAnsi="Nirmala UI" w:eastAsia="Courier New" w:cs="Nirmala UI"/>
          <w:b w:val="false"/>
          <w:b w:val="false"/>
          <w:bCs w:val="false"/>
          <w:color w:val="080808"/>
          <w:highlight w:val="white"/>
          <w:u w:val="none"/>
        </w:rPr>
        <w:t>अर्जि</w:t>
      </w:r>
      <w:r>
        <w:rPr>
          <w:rFonts w:eastAsia="Courier New" w:cs="Nirmala UI" w:ascii="Nirmala UI" w:hAnsi="Nirmala UI"/>
          <w:b w:val="false"/>
          <w:bCs w:val="false"/>
          <w:color w:val="080808"/>
          <w:highlight w:val="white"/>
          <w:u w:val="none"/>
        </w:rPr>
        <w:t>}{</w:t>
      </w:r>
      <w:r>
        <w:rPr>
          <w:rFonts w:ascii="Nirmala UI" w:hAnsi="Nirmala UI" w:eastAsia="Courier New" w:cs="Nirmala UI"/>
          <w:b w:val="false"/>
          <w:b w:val="false"/>
          <w:bCs w:val="false"/>
          <w:color w:val="080808"/>
          <w:highlight w:val="white"/>
          <w:u w:val="none"/>
        </w:rPr>
        <w:t>अर्जि</w:t>
      </w:r>
      <w:r>
        <w:rPr>
          <w:rFonts w:eastAsia="Courier New" w:cs="Nirmala UI" w:ascii="Nirmala UI" w:hAnsi="Nirmala UI"/>
          <w:b w:val="false"/>
          <w:bCs w:val="false"/>
          <w:color w:val="080808"/>
          <w:highlight w:val="white"/>
          <w:u w:val="none"/>
        </w:rPr>
        <w:t>}</w:t>
      </w:r>
      <w:r>
        <w:rPr>
          <w:rFonts w:eastAsia="Courier New" w:cs="Mangal;serif" w:ascii="Mangal;serif" w:hAnsi="Mangal;serif"/>
          <w:b w:val="false"/>
          <w:bCs w:val="false"/>
          <w:color w:val="080808"/>
          <w:highlight w:val="white"/>
          <w:u w:val="none"/>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@#space1@space@newArttiibute=newAttributeValue</w:t>
      </w:r>
    </w:p>
    <w:p>
      <w:pPr>
        <w:pStyle w:val="Normal"/>
        <w:spacing w:lineRule="auto" w:line="240" w:before="280" w:after="280"/>
        <w:ind w:left="90" w:hanging="0"/>
        <w:rPr>
          <w:rFonts w:ascii="Courier New" w:hAnsi="Courier New" w:eastAsia="Courier New" w:cs="Courier New"/>
          <w:color w:val="080808"/>
          <w:highlight w:val="white"/>
        </w:rPr>
      </w:pPr>
      <w:bookmarkStart w:id="7" w:name="__DdeLink__260_4178732516"/>
      <w:r>
        <w:rPr>
          <w:rFonts w:cs="Nirmala UI" w:ascii="Nirmala UI" w:hAnsi="Nirmala UI"/>
        </w:rPr>
        <w:t>#&amp;{</w:t>
      </w:r>
      <w:r>
        <w:rPr>
          <w:rFonts w:ascii="Nirmala UI" w:hAnsi="Nirmala UI" w:cs="Nirmala UI"/>
        </w:rPr>
        <w:t>नं ९७</w:t>
      </w:r>
      <w:r>
        <w:rPr>
          <w:rFonts w:cs="Nirmala UI" w:ascii="Nirmala UI" w:hAnsi="Nirmala UI"/>
        </w:rPr>
        <w:t>}#</w:t>
      </w:r>
      <w:bookmarkEnd w:id="7"/>
      <w:r>
        <w:rPr>
          <w:rFonts w:ascii="Nirmala UI" w:hAnsi="Nirmala UI" w:cs="Nirmala UI"/>
        </w:rPr>
        <w:t xml:space="preserve">अर्जि </w:t>
      </w:r>
      <w:r>
        <w:rPr>
          <w:rFonts w:cs="Nirmala UI" w:ascii="Nirmala UI" w:hAnsi="Nirmala UI"/>
        </w:rPr>
        <w:t>#reg{ ¯ ¯ ¯ ¯ ¯ ¯}{ ---}##&amp;@place@hand{</w:t>
      </w:r>
      <w:r>
        <w:rPr>
          <w:rFonts w:ascii="Nirmala UI" w:hAnsi="Nirmala UI" w:cs="Nirmala UI"/>
        </w:rPr>
        <w:t>नं</w:t>
      </w:r>
      <w:r>
        <w:rPr/>
        <w:t xml:space="preserve"> </w:t>
      </w:r>
      <w:r>
        <w:rPr>
          <w:rFonts w:ascii="Nirmala UI" w:hAnsi="Nirmala UI" w:cs="Nirmala UI"/>
        </w:rPr>
        <w:t>९७</w:t>
      </w:r>
      <w:r>
        <w:rPr>
          <w:rFonts w:cs="Nirmala UI" w:ascii="Nirmala UI" w:hAnsi="Nirmala UI"/>
        </w:rPr>
        <w:t>}#</w:t>
      </w:r>
      <w:r>
        <w:rPr>
          <w:rFonts w:ascii="Nirmala UI" w:hAnsi="Nirmala UI" w:cs="Nirmala UI"/>
        </w:rPr>
        <w:t xml:space="preserve">अर्जि </w:t>
      </w:r>
      <w:r>
        <w:rPr>
          <w:rFonts w:cs="Nirmala UI" w:ascii="Nirmala UI" w:hAnsi="Nirmala UI"/>
        </w:rPr>
        <w:t>#reg{ ¯ ¯ ¯ ¯ ¯ ¯}{ ---}#</w:t>
      </w:r>
      <w:r>
        <w:rPr>
          <w:rFonts w:ascii="Nirmala UI" w:hAnsi="Nirmala UI" w:cs="Nirmala UI"/>
        </w:rPr>
        <w:t xml:space="preserve">अर्जि </w:t>
      </w:r>
      <w:r>
        <w:rPr>
          <w:rFonts w:cs="Nirmala UI" w:ascii="Nirmala UI" w:hAnsi="Nirmala UI"/>
        </w:rPr>
        <w:t>#reg{ ¯ ¯ ¯ ¯ ¯ ¯}{ ---}#</w:t>
      </w:r>
      <w:r>
        <w:rPr>
          <w:rFonts w:ascii="Nirmala UI" w:hAnsi="Nirmala UI" w:cs="Nirmala UI"/>
        </w:rPr>
        <w:t xml:space="preserve">अर्जि </w:t>
      </w:r>
      <w:r>
        <w:rPr>
          <w:rFonts w:cs="Nirmala UI" w:ascii="Nirmala UI" w:hAnsi="Nirmala UI"/>
        </w:rPr>
        <w:t>#reg{ ¯ ¯ ¯ ¯ ¯ ¯}{ ---}#</w:t>
      </w:r>
    </w:p>
    <w:p>
      <w:pPr>
        <w:pStyle w:val="Heading2"/>
        <w:spacing w:lineRule="auto" w:line="240" w:before="280" w:after="280"/>
        <w:ind w:left="90" w:hanging="0"/>
        <w:rPr>
          <w:lang w:val="de-DE"/>
        </w:rPr>
      </w:pPr>
      <w:bookmarkStart w:id="8" w:name="_ghwfu4k0wdru"/>
      <w:bookmarkStart w:id="9" w:name="_dlzeesqam4xg"/>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main_text@maintext@key=valEdi</w:t>
      </w:r>
    </w:p>
    <w:p>
      <w:pPr>
        <w:pStyle w:val="Normal"/>
        <w:spacing w:lineRule="auto" w:line="240" w:before="280" w:after="280"/>
        <w:ind w:left="90" w:hanging="0"/>
        <w:rPr>
          <w:rFonts w:ascii="Nirmala UI" w:hAnsi="Nirmala UI" w:cs="Nirmala UI"/>
        </w:rPr>
      </w:pPr>
      <w:r>
        <w:rPr>
          <w:rFonts w:ascii="Nirmala UI" w:hAnsi="Nirmala UI" w:cs="Nirmala UI"/>
        </w:rPr>
        <w:t xml:space="preserve">अर्जि </w:t>
      </w:r>
      <w:r>
        <w:rPr>
          <w:rFonts w:cs="Nirmala UI" w:ascii="Nirmala UI" w:hAnsi="Nirmala UI"/>
        </w:rPr>
        <w:t>#reg{ ¯ ¯ ¯ ¯ ¯ ¯}{</w:t>
      </w:r>
      <w:r>
        <w:rPr/>
        <w:t xml:space="preserve"> </w:t>
      </w:r>
      <w:r>
        <w:rPr>
          <w:rFonts w:cs="Nirmala UI" w:ascii="Nirmala UI" w:hAnsi="Nirmala UI"/>
        </w:rPr>
        <w:t>---}#</w:t>
      </w:r>
    </w:p>
    <w:p>
      <w:pPr>
        <w:pStyle w:val="Normal"/>
        <w:spacing w:lineRule="auto" w:line="240" w:before="280" w:after="280"/>
        <w:ind w:left="90" w:hanging="0"/>
        <w:rPr>
          <w:rFonts w:ascii="Nirmala UI" w:hAnsi="Nirmala UI" w:cs="Nirmala UI"/>
        </w:rPr>
      </w:pPr>
      <w:r>
        <w:rPr/>
        <w:t xml:space="preserve">#SB </w:t>
      </w:r>
      <w:r>
        <w:rPr>
          <w:rFonts w:eastAsia="Arial" w:cs="Arial" w:ascii="Arial" w:hAnsi="Arial"/>
        </w:rPr>
        <w:t>#cor{</w:t>
      </w:r>
      <w:r>
        <w:rPr>
          <w:rFonts w:ascii="Nirmala UI" w:hAnsi="Nirmala UI" w:cs="Nirmala UI"/>
        </w:rPr>
        <w:t>उप्रन्त</w:t>
      </w:r>
      <w:r>
        <w:rPr>
          <w:rFonts w:eastAsia="Arial" w:cs="Arial" w:ascii="Arial" w:hAnsi="Arial"/>
        </w:rPr>
        <w:t>}{</w:t>
      </w:r>
      <w:r>
        <w:rPr>
          <w:rFonts w:ascii="Nirmala UI" w:hAnsi="Nirmala UI" w:cs="Nirmala UI"/>
        </w:rPr>
        <w:t>उप्रान्त</w:t>
      </w:r>
      <w:r>
        <w:rPr>
          <w:rFonts w:eastAsia="Arial" w:cs="Arial" w:ascii="Arial" w:hAnsi="Arial"/>
        </w:rPr>
        <w:t xml:space="preserve">}# </w:t>
      </w:r>
      <w:r>
        <w:rPr>
          <w:rFonts w:ascii="Nirmala UI" w:hAnsi="Nirmala UI" w:cs="Nirmala UI"/>
        </w:rPr>
        <w:t>गवर्नर् जनरल पश्चिम गयादेखि याँहाँ मा</w:t>
      </w:r>
      <w:r>
        <w:rPr>
          <w:rFonts w:cs="Nirmala UI" w:ascii="Nirmala UI" w:hAnsi="Nirmala UI"/>
        </w:rPr>
        <w:t>-</w:t>
      </w:r>
      <w:bookmarkStart w:id="10" w:name="_Hlk57808006"/>
      <w:bookmarkEnd w:id="10"/>
    </w:p>
    <w:p>
      <w:pPr>
        <w:pStyle w:val="Normal"/>
        <w:spacing w:lineRule="auto" w:line="240" w:before="280" w:after="280"/>
        <w:ind w:left="90" w:hanging="0"/>
        <w:rPr>
          <w:rFonts w:ascii="Nirmala UI" w:hAnsi="Nirmala UI" w:cs="Nirmala UI"/>
        </w:rPr>
      </w:pPr>
      <w:r>
        <w:rPr>
          <w:rFonts w:ascii="Nirmala UI" w:hAnsi="Nirmala UI" w:cs="Nirmala UI"/>
        </w:rPr>
        <w:t xml:space="preserve">मूलि दर्वार भयाको थिएन </w:t>
      </w:r>
      <w:r>
        <w:rPr>
          <w:rFonts w:cs="Nirmala UI" w:ascii="Nirmala UI" w:hAnsi="Nirmala UI"/>
        </w:rPr>
        <w:t>#cor{</w:t>
      </w:r>
      <w:r>
        <w:rPr>
          <w:rFonts w:ascii="Nirmala UI" w:hAnsi="Nirmala UI" w:cs="Nirmala UI"/>
        </w:rPr>
        <w:t>आश्वि</w:t>
      </w:r>
      <w:r>
        <w:rPr>
          <w:rFonts w:cs="Nirmala UI" w:ascii="Nirmala UI" w:hAnsi="Nirmala UI"/>
        </w:rPr>
        <w:t>}{</w:t>
      </w:r>
      <w:r>
        <w:rPr>
          <w:rFonts w:ascii="Nirmala UI" w:hAnsi="Nirmala UI" w:cs="Nirmala UI"/>
        </w:rPr>
        <w:t>आश्विन</w:t>
      </w:r>
      <w:r>
        <w:rPr>
          <w:rFonts w:cs="Nirmala UI" w:ascii="Nirmala UI" w:hAnsi="Nirmala UI"/>
        </w:rPr>
        <w:t xml:space="preserve">}# </w:t>
      </w:r>
      <w:r>
        <w:rPr>
          <w:rFonts w:ascii="Nirmala UI" w:hAnsi="Nirmala UI" w:cs="Nirmala UI"/>
        </w:rPr>
        <w:t>शुक्ल ५ रोज ७</w:t>
      </w:r>
    </w:p>
    <w:p>
      <w:pPr>
        <w:pStyle w:val="Normal"/>
        <w:spacing w:lineRule="auto" w:line="240" w:before="280" w:after="280"/>
        <w:ind w:left="90" w:hanging="0"/>
        <w:rPr>
          <w:rFonts w:ascii="Nirmala UI" w:hAnsi="Nirmala UI" w:cs="Nirmala UI"/>
        </w:rPr>
      </w:pPr>
      <w:r>
        <w:rPr>
          <w:rFonts w:ascii="Nirmala UI" w:hAnsi="Nirmala UI" w:cs="Nirmala UI"/>
        </w:rPr>
        <w:t>का साहव सिक्रिटरिकाँहाँ दर्वार भयो हजूर</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का मिजाजमुवारक्को षैरआफ़ियत् सोध्या व</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 xml:space="preserve">हुत षुसि </w:t>
      </w:r>
      <w:r>
        <w:rPr>
          <w:rFonts w:cs="Nirmala UI" w:ascii="Nirmala UI" w:hAnsi="Nirmala UI"/>
        </w:rPr>
        <w:t>#sur@repeated{</w:t>
      </w:r>
      <w:r>
        <w:rPr>
          <w:rFonts w:ascii="Nirmala UI" w:hAnsi="Nirmala UI" w:cs="Nirmala UI"/>
        </w:rPr>
        <w:t>वा षुसि</w:t>
      </w:r>
      <w:r>
        <w:rPr>
          <w:rFonts w:cs="Nirmala UI" w:ascii="Nirmala UI" w:hAnsi="Nirmala UI"/>
        </w:rPr>
        <w:t xml:space="preserve">}# </w:t>
      </w:r>
      <w:r>
        <w:rPr>
          <w:rFonts w:ascii="Nirmala UI" w:hAnsi="Nirmala UI" w:cs="Nirmala UI"/>
        </w:rPr>
        <w:t>हुनुहुन्छ भनि जवाव दियाँ भाद्र</w:t>
      </w:r>
    </w:p>
    <w:p>
      <w:pPr>
        <w:pStyle w:val="Normal"/>
        <w:spacing w:lineRule="auto" w:line="240" w:before="280" w:after="280"/>
        <w:ind w:left="90" w:hanging="0"/>
        <w:rPr>
          <w:rFonts w:ascii="Nirmala UI" w:hAnsi="Nirmala UI" w:cs="Nirmala UI"/>
        </w:rPr>
      </w:pPr>
      <w:r>
        <w:rPr>
          <w:rFonts w:ascii="Nirmala UI" w:hAnsi="Nirmala UI" w:cs="Nirmala UI"/>
        </w:rPr>
        <w:t xml:space="preserve">शुक्ल १२ का दिन </w:t>
      </w:r>
      <w:r>
        <w:rPr>
          <w:rFonts w:cs="Nirmala UI" w:ascii="Nirmala UI" w:hAnsi="Nirmala UI"/>
        </w:rPr>
        <w:t>#pln{</w:t>
      </w:r>
      <w:r>
        <w:rPr>
          <w:rFonts w:ascii="Nirmala UI" w:hAnsi="Nirmala UI" w:cs="Nirmala UI"/>
        </w:rPr>
        <w:t>कावुल्का</w:t>
      </w:r>
      <w:r>
        <w:rPr>
          <w:rFonts w:cs="Nirmala UI" w:ascii="Nirmala UI" w:hAnsi="Nirmala UI"/>
        </w:rPr>
        <w:t xml:space="preserve">}# </w:t>
      </w:r>
      <w:r>
        <w:rPr>
          <w:rFonts w:ascii="Nirmala UI" w:hAnsi="Nirmala UI" w:cs="Nirmala UI"/>
        </w:rPr>
        <w:t>किल्लामा अंरेजको</w:t>
      </w:r>
    </w:p>
    <w:p>
      <w:pPr>
        <w:pStyle w:val="Normal"/>
        <w:spacing w:lineRule="auto" w:line="240" w:before="280" w:after="280"/>
        <w:ind w:left="90" w:hanging="0"/>
        <w:rPr>
          <w:rFonts w:ascii="Nirmala UI" w:hAnsi="Nirmala UI" w:cs="Nirmala UI"/>
        </w:rPr>
      </w:pPr>
      <w:r>
        <w:rPr>
          <w:rFonts w:ascii="Nirmala UI" w:hAnsi="Nirmala UI" w:cs="Nirmala UI"/>
        </w:rPr>
        <w:t xml:space="preserve">सेवक </w:t>
      </w:r>
      <w:r>
        <w:rPr>
          <w:rFonts w:cs="Nirmala UI" w:ascii="Nirmala UI" w:hAnsi="Nirmala UI"/>
        </w:rPr>
        <w:t>#pen{</w:t>
      </w:r>
      <w:r>
        <w:rPr>
          <w:rFonts w:ascii="Nirmala UI" w:hAnsi="Nirmala UI" w:cs="Nirmala UI"/>
        </w:rPr>
        <w:t>लोकरमणोपाध्यायको</w:t>
      </w:r>
      <w:r>
        <w:rPr>
          <w:rFonts w:cs="Nirmala UI" w:ascii="Nirmala UI" w:hAnsi="Nirmala UI"/>
        </w:rPr>
        <w:t xml:space="preserve">}# </w:t>
      </w:r>
      <w:r>
        <w:rPr>
          <w:rFonts w:ascii="Nirmala UI" w:hAnsi="Nirmala UI" w:cs="Nirmala UI"/>
        </w:rPr>
        <w:t>वेदो</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 xml:space="preserve">क्त शुभ आसिर्वाद सहश्रम् </w:t>
      </w:r>
      <w:r>
        <w:rPr>
          <w:rFonts w:cs="Nirmala UI" w:ascii="Nirmala UI" w:hAnsi="Nirmala UI"/>
        </w:rPr>
        <w:t>#reg{¯ ¯ ¯ ¯ ¯ ¯}{---}##SE</w:t>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pPr>
      <w:r>
        <w:rPr/>
        <w:t>Śrī</w:t>
      </w:r>
    </w:p>
    <w:p>
      <w:pPr>
        <w:pStyle w:val="Normal"/>
        <w:rPr/>
      </w:pPr>
      <w:r>
        <w:rPr/>
      </w:r>
    </w:p>
    <w:p>
      <w:pPr>
        <w:pStyle w:val="Normal"/>
        <w:rPr/>
      </w:pPr>
      <w:r>
        <w:rPr/>
        <w:t>Number 97</w:t>
      </w:r>
      <w:r>
        <w:rPr>
          <w:rStyle w:val="FootnoteAnchor"/>
        </w:rPr>
        <w:footnoteReference w:id="2"/>
      </w:r>
    </w:p>
    <w:p>
      <w:pPr>
        <w:pStyle w:val="Normal"/>
        <w:rPr/>
      </w:pPr>
      <w:r>
        <w:rPr/>
      </w:r>
    </w:p>
    <w:p>
      <w:pPr>
        <w:pStyle w:val="Normal"/>
        <w:rPr/>
      </w:pPr>
      <w:r>
        <w:rPr>
          <w:i/>
          <w:iCs/>
        </w:rPr>
        <w:t>Arjī</w:t>
      </w:r>
      <w:r>
        <w:rPr/>
        <w:t xml:space="preserve"> - - -</w:t>
      </w:r>
    </w:p>
    <w:p>
      <w:pPr>
        <w:pStyle w:val="Normal"/>
        <w:rPr/>
      </w:pPr>
      <w:r>
        <w:rPr/>
      </w:r>
    </w:p>
    <w:p>
      <w:pPr>
        <w:pStyle w:val="Normal"/>
        <w:rPr/>
      </w:pPr>
      <w:r>
        <w:rPr>
          <w:i/>
          <w:iCs/>
        </w:rPr>
        <w:t>Uprānta</w:t>
      </w:r>
      <w:r>
        <w:rPr/>
        <w:t>: Since the governor general departed for the Western [Provinces] there has not been any regular court assembly (</w:t>
      </w:r>
      <w:r>
        <w:rPr>
          <w:i/>
          <w:iCs/>
        </w:rPr>
        <w:t>darbāra</w:t>
      </w:r>
      <w:r>
        <w:rPr/>
        <w:t>) held. There was a court assembly held with the governor general’s secretary (</w:t>
      </w:r>
      <w:r>
        <w:rPr>
          <w:i/>
          <w:iCs/>
        </w:rPr>
        <w:t>sāhaba sikriṭari</w:t>
      </w:r>
      <w:r>
        <w:rPr/>
        <w:t>)</w:t>
      </w:r>
      <w:r>
        <w:rPr>
          <w:rStyle w:val="FootnoteAnchor"/>
        </w:rPr>
        <w:footnoteReference w:id="3"/>
      </w:r>
      <w:r>
        <w:rPr/>
        <w:t xml:space="preserve"> on Saturday, the 5th of the bright fortnight of Āśvina. [He] asked about your well-being and spirits. I replied that you are in very good spirits. The news has been published in newspapers here that the English gained a victory at the fort of Kabul</w:t>
      </w:r>
      <w:r>
        <w:rPr>
          <w:rStyle w:val="FootnoteAnchor"/>
        </w:rPr>
        <w:footnoteReference w:id="4"/>
      </w:r>
      <w:r>
        <w:rPr/>
        <w:t xml:space="preserve"> on the 12th of the bright fortnight of Bhādra. Two Persian newspapers have been sent to you. The situation in Kabul will become clear[er] if you cast your eyes on them.</w:t>
      </w:r>
    </w:p>
    <w:p>
      <w:pPr>
        <w:pStyle w:val="Normal"/>
        <w:rPr/>
      </w:pPr>
      <w:r>
        <w:rPr/>
      </w:r>
    </w:p>
    <w:p>
      <w:pPr>
        <w:pStyle w:val="Normal"/>
        <w:rPr/>
      </w:pPr>
      <w:r>
        <w:rPr/>
        <w:t>Friday, the 10th of the bright fortnight of Āśvina in the [Vikrama] era year 1899 (1842 CE). Residence: #pln{Chitpur}#, Calcutta. Auspiciousness.</w:t>
      </w:r>
    </w:p>
    <w:p>
      <w:pPr>
        <w:pStyle w:val="Normal"/>
        <w:rPr/>
      </w:pPr>
      <w:r>
        <w:rPr/>
      </w:r>
    </w:p>
    <w:p>
      <w:pPr>
        <w:pStyle w:val="Normal"/>
        <w:rPr/>
      </w:pPr>
      <w:r>
        <w:rPr/>
        <w:t>Thousands of auspicious blessings from [your] servant Lokaramaṇa Upādhyāya as uttered in the Vedas.</w:t>
      </w:r>
    </w:p>
    <w:p>
      <w:pPr>
        <w:pStyle w:val="Heading1"/>
        <w:keepNext w:val="false"/>
        <w:keepLines w:val="false"/>
        <w:rPr>
          <w:b w:val="false"/>
          <w:b w:val="false"/>
          <w:color w:val="000000"/>
          <w:sz w:val="46"/>
          <w:szCs w:val="46"/>
        </w:rPr>
      </w:pPr>
      <w:bookmarkStart w:id="11" w:name="_wob5lbahqu0g"/>
      <w:bookmarkEnd w:id="11"/>
      <w:r>
        <w:rPr>
          <w:b w:val="false"/>
          <w:color w:val="000000"/>
          <w:sz w:val="46"/>
          <w:szCs w:val="46"/>
        </w:rPr>
        <w:t>Commentary</w:t>
      </w:r>
    </w:p>
    <w:p>
      <w:pPr>
        <w:pStyle w:val="Normal"/>
        <w:spacing w:before="0" w:after="200"/>
        <w:rPr>
          <w:b w:val="false"/>
          <w:b w:val="false"/>
          <w:bCs w:val="false"/>
        </w:rPr>
      </w:pPr>
      <w:r>
        <w:rPr>
          <w:rFonts w:eastAsia="Arial" w:cs="Arial" w:ascii="Arial" w:hAnsi="Arial"/>
          <w:b w:val="false"/>
          <w:bCs w:val="false"/>
        </w:rPr>
        <w:t>This report of #pen{Lokaramaṇa Upādhyāya}# refers to two historical events. The first one is the departure of Governor General Edward Law, 1st Earl of Ellenborough who took over office from Lord Auckland on 28 February 1842 (Anonymous 1842: 37), on a tour to the #gen{North-Western Provinces}# in April 1842 (Anonymous 1842: 142). The second one is the First Anglo-Afghan War (1839–1842). Lokaramaṇa reports about the Battle of Kabul, in which the so called "Army of Retribution" under the command of Major General Sir George Pollock destroyed parts of Kabul in September 1842.</w:t>
      </w:r>
      <w:r>
        <w:rPr>
          <w:rStyle w:val="FootnoteAnchor"/>
          <w:rFonts w:eastAsia="Arial" w:cs="Arial" w:ascii="Arial" w:hAnsi="Arial"/>
          <w:b w:val="false"/>
          <w:bCs w:val="false"/>
        </w:rPr>
        <w:footnoteReference w:id="5"/>
      </w:r>
      <w:r>
        <w:rPr>
          <w:rFonts w:eastAsia="Arial" w:cs="Arial" w:ascii="Arial" w:hAnsi="Arial"/>
          <w:b w:val="false"/>
          <w:bCs w:val="false"/>
        </w:rPr>
        <w:t xml:space="preserve"> The army was dispatched by Governor General Lord Auckland as retaliation for the Massacre of Elphinstone's army in January 1842 and to recover prisoners captured during that British defeat. An account on the British advance to and capture of Kabul is given by Findlay 2014: 233.</w:t>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Courier New">
    <w:charset w:val="01"/>
    <w:family w:val="roman"/>
    <w:pitch w:val="variable"/>
  </w:font>
  <w:font w:name="Mangal">
    <w:altName w:val="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An addition by a second hand in the original, representing the manuscript number given by the National Archives Nepal.</w:t>
      </w:r>
    </w:p>
  </w:footnote>
  <w:footnote w:id="3">
    <w:p>
      <w:pPr>
        <w:pStyle w:val="Footnote"/>
        <w:rPr>
          <w:lang w:val="de-DE"/>
        </w:rPr>
      </w:pPr>
      <w:r>
        <w:rPr>
          <w:rStyle w:val="FootnoteCharacters"/>
        </w:rPr>
        <w:footnoteRef/>
      </w:r>
      <w:r>
        <w:rPr/>
        <w:t xml:space="preserve"> </w:t>
      </w:r>
      <w:r>
        <w:rPr/>
        <w:t>Most probably #pen{Henry Marion Durand}# (1812–1871) who was appointed as private secretary to the governor general on 28 February 1842.</w:t>
      </w:r>
    </w:p>
  </w:footnote>
  <w:footnote w:id="4">
    <w:p>
      <w:pPr>
        <w:pStyle w:val="Footnote"/>
        <w:rPr>
          <w:lang w:val="de-DE"/>
        </w:rPr>
      </w:pPr>
      <w:r>
        <w:rPr>
          <w:rStyle w:val="FootnoteCharacters"/>
        </w:rPr>
        <w:footnoteRef/>
      </w:r>
      <w:r>
        <w:rPr/>
        <w:t xml:space="preserve"> </w:t>
      </w:r>
      <w:r>
        <w:rPr/>
        <w:t>This might refer to the Bala Hissar, where on 16 September 1842 Major General Sir George Pollock raised the British flag after seizing Kabul.</w:t>
      </w:r>
    </w:p>
  </w:footnote>
  <w:footnote w:id="5">
    <w:p>
      <w:pPr>
        <w:pStyle w:val="Footnote"/>
        <w:rPr/>
      </w:pPr>
      <w:r>
        <w:rPr>
          <w:rStyle w:val="FootnoteCharacters"/>
        </w:rPr>
        <w:footnoteRef/>
      </w:r>
      <w:r>
        <w:rPr/>
        <w:t xml:space="preserve"> </w:t>
      </w:r>
      <w:r>
        <w:rPr/>
        <w:t>The second one is the First Anglo-Afghan War (1839–1842).</w:t>
      </w:r>
    </w:p>
  </w:footnote>
</w:footnotes>
</file>

<file path=word/settings.xml><?xml version="1.0" encoding="utf-8"?>
<w:settings xmlns:w="http://schemas.openxmlformats.org/wordprocessingml/2006/main">
  <w:zoom w:percent="23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93C3-F86D-4AF8-AF95-537F319E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LibreOffice/6.4.6.2$Linux_X86_64 LibreOffice_project/40$Build-2</Application>
  <Pages>5</Pages>
  <Words>689</Words>
  <Characters>3728</Characters>
  <CharactersWithSpaces>4339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2020-12-02T11:59:00Z</dcterms:created>
  <dc:creator>Simon</dc:creator>
  <dc:description/>
  <dc:language>en-US</dc:language>
  <cp:lastModifiedBy/>
  <dcterms:modified xsi:type="dcterms:W3CDTF">2020-12-13T22:01:13Z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