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C58" w:rsidRPr="004E64AF" w:rsidRDefault="001B5003" w:rsidP="00D70AA3">
      <w:pPr>
        <w:spacing w:after="0" w:line="276" w:lineRule="auto"/>
        <w:jc w:val="center"/>
        <w:rPr>
          <w:rFonts w:ascii="Bookman Old Style" w:hAnsi="Bookman Old Style"/>
          <w:b/>
          <w:bCs/>
          <w:lang w:val="en-US"/>
        </w:rPr>
      </w:pPr>
      <w:r w:rsidRPr="004E64AF">
        <w:rPr>
          <w:rFonts w:ascii="Bookman Old Style" w:hAnsi="Bookman Old Style"/>
          <w:b/>
          <w:bCs/>
          <w:lang w:val="en-US"/>
        </w:rPr>
        <w:t>RINGKASAN</w:t>
      </w:r>
    </w:p>
    <w:p w:rsidR="004E64AF" w:rsidRPr="004E64AF" w:rsidRDefault="00185B22" w:rsidP="00D70AA3">
      <w:pPr>
        <w:spacing w:after="0" w:line="276" w:lineRule="auto"/>
        <w:jc w:val="center"/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PERATURAN</w:t>
      </w:r>
      <w:r w:rsidR="004E64AF" w:rsidRPr="004E64AF">
        <w:rPr>
          <w:rFonts w:ascii="Bookman Old Style" w:hAnsi="Bookman Old Style"/>
          <w:b/>
          <w:bCs/>
          <w:lang w:val="en-US"/>
        </w:rPr>
        <w:t xml:space="preserve"> OTORITAS JASA KEUANGAN TENTANG</w:t>
      </w:r>
    </w:p>
    <w:p w:rsidR="001B5003" w:rsidRPr="004E64AF" w:rsidRDefault="00E26F29" w:rsidP="00D70AA3">
      <w:pPr>
        <w:spacing w:after="0" w:line="276" w:lineRule="auto"/>
        <w:jc w:val="center"/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PERUBAHAN ATAS PERATURAN OTORITAS JASA KEUANGAN NOMOR 19/POJK.03/2017 TENTANG PENETAPAN STATUS DAN TINDAK LANJUT PENGAWASAN BANK PERKREDITAN RAKYAT DAN BANK PEMBIAYAAN RAKYAT SYARIAH</w:t>
      </w:r>
    </w:p>
    <w:p w:rsidR="001B5003" w:rsidRPr="004E64AF" w:rsidRDefault="001B5003" w:rsidP="00D70AA3">
      <w:pPr>
        <w:spacing w:after="0" w:line="276" w:lineRule="auto"/>
        <w:jc w:val="center"/>
        <w:rPr>
          <w:rFonts w:ascii="Bookman Old Style" w:hAnsi="Bookman Old Style"/>
          <w:lang w:val="en-US"/>
        </w:rPr>
      </w:pPr>
    </w:p>
    <w:p w:rsidR="001B5003" w:rsidRPr="004E64AF" w:rsidRDefault="00185B22" w:rsidP="005065C5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</w:t>
      </w:r>
      <w:r w:rsidR="001B5003" w:rsidRPr="004E64AF">
        <w:rPr>
          <w:rFonts w:ascii="Bookman Old Style" w:hAnsi="Bookman Old Style"/>
          <w:lang w:val="en-US"/>
        </w:rPr>
        <w:t xml:space="preserve">OJK tentang </w:t>
      </w:r>
      <w:r w:rsidR="00FB398C">
        <w:rPr>
          <w:rFonts w:ascii="Bookman Old Style" w:hAnsi="Bookman Old Style"/>
          <w:bCs/>
          <w:lang w:val="en-US"/>
        </w:rPr>
        <w:t>Perubahan A</w:t>
      </w:r>
      <w:r w:rsidR="00FB398C" w:rsidRPr="00FB398C">
        <w:rPr>
          <w:rFonts w:ascii="Bookman Old Style" w:hAnsi="Bookman Old Style"/>
          <w:bCs/>
          <w:lang w:val="en-US"/>
        </w:rPr>
        <w:t>tas Peraturan Otor</w:t>
      </w:r>
      <w:r w:rsidR="00FB398C">
        <w:rPr>
          <w:rFonts w:ascii="Bookman Old Style" w:hAnsi="Bookman Old Style"/>
          <w:bCs/>
          <w:lang w:val="en-US"/>
        </w:rPr>
        <w:t>itas Jasa Keuangan Nomor 19/POJK.03/2017 tentang Penetapan Status d</w:t>
      </w:r>
      <w:r w:rsidR="00FB398C" w:rsidRPr="00FB398C">
        <w:rPr>
          <w:rFonts w:ascii="Bookman Old Style" w:hAnsi="Bookman Old Style"/>
          <w:bCs/>
          <w:lang w:val="en-US"/>
        </w:rPr>
        <w:t>an Tindak Lanjut Peng</w:t>
      </w:r>
      <w:r w:rsidR="00FB398C">
        <w:rPr>
          <w:rFonts w:ascii="Bookman Old Style" w:hAnsi="Bookman Old Style"/>
          <w:bCs/>
          <w:lang w:val="en-US"/>
        </w:rPr>
        <w:t xml:space="preserve">awasan </w:t>
      </w:r>
      <w:r w:rsidR="003D226D">
        <w:rPr>
          <w:rFonts w:ascii="Bookman Old Style" w:hAnsi="Bookman Old Style"/>
          <w:bCs/>
          <w:lang w:val="en-US"/>
        </w:rPr>
        <w:t>BPR</w:t>
      </w:r>
      <w:r w:rsidR="00FB398C">
        <w:rPr>
          <w:rFonts w:ascii="Bookman Old Style" w:hAnsi="Bookman Old Style"/>
          <w:bCs/>
          <w:lang w:val="en-US"/>
        </w:rPr>
        <w:t xml:space="preserve"> d</w:t>
      </w:r>
      <w:r w:rsidR="00FB398C" w:rsidRPr="00FB398C">
        <w:rPr>
          <w:rFonts w:ascii="Bookman Old Style" w:hAnsi="Bookman Old Style"/>
          <w:bCs/>
          <w:lang w:val="en-US"/>
        </w:rPr>
        <w:t xml:space="preserve">an </w:t>
      </w:r>
      <w:r w:rsidR="003D226D">
        <w:rPr>
          <w:rFonts w:ascii="Bookman Old Style" w:hAnsi="Bookman Old Style"/>
          <w:bCs/>
          <w:lang w:val="en-US"/>
        </w:rPr>
        <w:t>BPRS</w:t>
      </w:r>
      <w:r w:rsidR="00FB398C"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 xml:space="preserve">adalah suatu ketentuan </w:t>
      </w:r>
      <w:r w:rsidR="003D226D">
        <w:rPr>
          <w:rFonts w:ascii="Bookman Old Style" w:hAnsi="Bookman Old Style"/>
          <w:lang w:val="en-US"/>
        </w:rPr>
        <w:t xml:space="preserve">yang mencakup beberapa perubahan terkait dengan </w:t>
      </w:r>
      <w:r w:rsidR="004F1890">
        <w:rPr>
          <w:rFonts w:ascii="Bookman Old Style" w:hAnsi="Bookman Old Style"/>
          <w:lang w:val="en-US"/>
        </w:rPr>
        <w:t>penyesuaian pengaturan</w:t>
      </w:r>
      <w:r w:rsidR="003D226D">
        <w:rPr>
          <w:rFonts w:ascii="Bookman Old Style" w:hAnsi="Bookman Old Style"/>
          <w:lang w:val="en-US"/>
        </w:rPr>
        <w:t xml:space="preserve"> tindakan pengawasan BPR dan BPRS dalam pengawasan normal</w:t>
      </w:r>
      <w:r w:rsidR="004F1890">
        <w:rPr>
          <w:rFonts w:ascii="Bookman Old Style" w:hAnsi="Bookman Old Style"/>
          <w:lang w:val="en-US"/>
        </w:rPr>
        <w:t xml:space="preserve"> yang memiliki permasalahan sig</w:t>
      </w:r>
      <w:r w:rsidR="003D226D">
        <w:rPr>
          <w:rFonts w:ascii="Bookman Old Style" w:hAnsi="Bookman Old Style"/>
          <w:lang w:val="en-US"/>
        </w:rPr>
        <w:t>nifikan, serta penyesuaian terhadap sistem penilaian tingkat kesehatan BPR yang digunakan sebagai salah satu kriteria BPR dalam pengawasan intensif</w:t>
      </w:r>
      <w:r w:rsidR="00B418F4" w:rsidRPr="004E64AF">
        <w:rPr>
          <w:rFonts w:ascii="Bookman Old Style" w:hAnsi="Bookman Old Style"/>
          <w:lang w:val="en-US"/>
        </w:rPr>
        <w:t>.</w:t>
      </w:r>
      <w:bookmarkStart w:id="0" w:name="_GoBack"/>
      <w:bookmarkEnd w:id="0"/>
    </w:p>
    <w:p w:rsidR="001B5003" w:rsidRPr="004E64AF" w:rsidRDefault="00136A66" w:rsidP="00D70AA3">
      <w:pPr>
        <w:pStyle w:val="ListParagraph"/>
        <w:numPr>
          <w:ilvl w:val="0"/>
          <w:numId w:val="1"/>
        </w:numPr>
        <w:spacing w:after="0" w:line="276" w:lineRule="auto"/>
        <w:ind w:left="567" w:hanging="567"/>
        <w:contextualSpacing w:val="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</w:t>
      </w:r>
      <w:r w:rsidR="005109CB" w:rsidRPr="004E64AF">
        <w:rPr>
          <w:rFonts w:ascii="Bookman Old Style" w:hAnsi="Bookman Old Style"/>
          <w:lang w:val="en-US"/>
        </w:rPr>
        <w:t>OJK ini mengatur mengenai:</w:t>
      </w:r>
    </w:p>
    <w:p w:rsidR="005109CB" w:rsidRPr="004E64AF" w:rsidRDefault="00084CF8" w:rsidP="00D70AA3">
      <w:pPr>
        <w:pStyle w:val="ListParagraph"/>
        <w:numPr>
          <w:ilvl w:val="0"/>
          <w:numId w:val="2"/>
        </w:numPr>
        <w:spacing w:after="0" w:line="276" w:lineRule="auto"/>
        <w:ind w:left="1134" w:hanging="567"/>
        <w:contextualSpacing w:val="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beberapa ketentuan dalam POJK yang diubah; dan</w:t>
      </w:r>
    </w:p>
    <w:p w:rsidR="005109CB" w:rsidRPr="004E64AF" w:rsidRDefault="00084CF8" w:rsidP="00D70AA3">
      <w:pPr>
        <w:pStyle w:val="ListParagraph"/>
        <w:numPr>
          <w:ilvl w:val="0"/>
          <w:numId w:val="2"/>
        </w:numPr>
        <w:spacing w:after="120" w:line="276" w:lineRule="auto"/>
        <w:ind w:left="1134" w:hanging="567"/>
        <w:contextualSpacing w:val="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tanggal keberlakuan POJK.</w:t>
      </w:r>
    </w:p>
    <w:p w:rsidR="00261465" w:rsidRDefault="00C94BC3" w:rsidP="00E26F29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Tindakan pengawasan terhadap </w:t>
      </w:r>
      <w:r>
        <w:rPr>
          <w:rFonts w:ascii="Bookman Old Style" w:hAnsi="Bookman Old Style"/>
          <w:lang w:val="en-US"/>
        </w:rPr>
        <w:t>BPR dan BPRS dalam pengawasan normal yang memiliki permasalahan siginifikan</w:t>
      </w:r>
      <w:r>
        <w:rPr>
          <w:rFonts w:ascii="Bookman Old Style" w:hAnsi="Bookman Old Style"/>
          <w:lang w:val="en-US"/>
        </w:rPr>
        <w:t xml:space="preserve"> dihapus dalam rangka simplifikasi dan penyederhanaan proses pengawasan.</w:t>
      </w:r>
    </w:p>
    <w:p w:rsidR="00C94BC3" w:rsidRDefault="00C94BC3" w:rsidP="00E26F29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Sistem penilaian tingkat kesehatan BPR yang digunakan sebagai salah satu kriteria BPR dalam pengawasan intensif sejak tanggal 1 Januari 2020 tetap menggunakan ketentuan predikat penilaian tingkat kesehatan yang berlaku saat ini, yaitu SK DIR No.30/12/KEP/DIR tentang Tata Cara Penilaian Tingkat Kesehatan Bank Perkreditan Rakyat, sampai dengan diberlakukannya ketentuan mengenai penilaian tingkat kesehatan BPR yang baru.</w:t>
      </w:r>
    </w:p>
    <w:p w:rsidR="002624F3" w:rsidRDefault="002624F3" w:rsidP="00E26F29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Sanksi administratif yang dikenakan kepada BPR dan BPRS yang melanggar kewajiban </w:t>
      </w:r>
      <w:r w:rsidR="00744084">
        <w:rPr>
          <w:rFonts w:ascii="Bookman Old Style" w:hAnsi="Bookman Old Style"/>
          <w:lang w:val="en-US"/>
        </w:rPr>
        <w:t xml:space="preserve">penyampaian rencana tindak bagi </w:t>
      </w:r>
      <w:r w:rsidR="00744084">
        <w:rPr>
          <w:rFonts w:ascii="Bookman Old Style" w:hAnsi="Bookman Old Style"/>
          <w:lang w:val="en-US"/>
        </w:rPr>
        <w:t>BPR dan BPRS dalam pengawasan normal yang memiliki permasalahan siginifikan</w:t>
      </w:r>
      <w:r w:rsidR="00744084">
        <w:rPr>
          <w:rFonts w:ascii="Bookman Old Style" w:hAnsi="Bookman Old Style"/>
          <w:lang w:val="en-US"/>
        </w:rPr>
        <w:t xml:space="preserve"> </w:t>
      </w:r>
      <w:r w:rsidR="002936E4">
        <w:rPr>
          <w:rFonts w:ascii="Bookman Old Style" w:hAnsi="Bookman Old Style"/>
          <w:lang w:val="en-US"/>
        </w:rPr>
        <w:t xml:space="preserve">dihapus dengan pertimbangan menyesuaikan </w:t>
      </w:r>
      <w:r w:rsidR="009148A5">
        <w:rPr>
          <w:rFonts w:ascii="Bookman Old Style" w:hAnsi="Bookman Old Style"/>
          <w:lang w:val="en-US"/>
        </w:rPr>
        <w:t>dengan penghapusan pengaturan sebagaimana dimaksud pada angka 3.</w:t>
      </w:r>
    </w:p>
    <w:p w:rsidR="009148A5" w:rsidRPr="00E26F29" w:rsidRDefault="009148A5" w:rsidP="00E26F29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Istilah penilaian kemampuan dan kepatutan yang terdapat dalam sanksi administratif diselaraskan dengan </w:t>
      </w:r>
      <w:r w:rsidR="00BE4E6A">
        <w:rPr>
          <w:rFonts w:ascii="Bookman Old Style" w:hAnsi="Bookman Old Style"/>
          <w:lang w:val="en-US"/>
        </w:rPr>
        <w:t xml:space="preserve">istilah penilaian kembali bagi pihak utama sebagaimana diatur dalam </w:t>
      </w:r>
      <w:r>
        <w:rPr>
          <w:rFonts w:ascii="Bookman Old Style" w:hAnsi="Bookman Old Style"/>
          <w:lang w:val="en-US"/>
        </w:rPr>
        <w:t>Peraturan Otoritas Jasa Keuangan Nomor 34/POJK.03/2018 tentang Penilaian Kembali bagi Pihak Utama Lembaga Jasa Keuangan.</w:t>
      </w:r>
    </w:p>
    <w:sectPr w:rsidR="009148A5" w:rsidRPr="00E26F29" w:rsidSect="00455D92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C4C89"/>
    <w:multiLevelType w:val="hybridMultilevel"/>
    <w:tmpl w:val="77348032"/>
    <w:lvl w:ilvl="0" w:tplc="5A304DA8">
      <w:start w:val="1"/>
      <w:numFmt w:val="lowerLetter"/>
      <w:lvlText w:val="%1."/>
      <w:lvlJc w:val="left"/>
      <w:pPr>
        <w:ind w:left="927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8404D6"/>
    <w:multiLevelType w:val="hybridMultilevel"/>
    <w:tmpl w:val="59CC81CA"/>
    <w:lvl w:ilvl="0" w:tplc="5A304DA8">
      <w:start w:val="1"/>
      <w:numFmt w:val="lowerLetter"/>
      <w:lvlText w:val="%1."/>
      <w:lvlJc w:val="left"/>
      <w:pPr>
        <w:ind w:left="927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9021D6"/>
    <w:multiLevelType w:val="hybridMultilevel"/>
    <w:tmpl w:val="8A705D46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0996CD5"/>
    <w:multiLevelType w:val="hybridMultilevel"/>
    <w:tmpl w:val="D3FE5978"/>
    <w:lvl w:ilvl="0" w:tplc="5A304DA8">
      <w:start w:val="1"/>
      <w:numFmt w:val="lowerLetter"/>
      <w:lvlText w:val="%1."/>
      <w:lvlJc w:val="left"/>
      <w:pPr>
        <w:ind w:left="927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153CAB"/>
    <w:multiLevelType w:val="hybridMultilevel"/>
    <w:tmpl w:val="53EE5CBE"/>
    <w:lvl w:ilvl="0" w:tplc="5A304DA8">
      <w:start w:val="1"/>
      <w:numFmt w:val="lowerLetter"/>
      <w:lvlText w:val="%1."/>
      <w:lvlJc w:val="left"/>
      <w:pPr>
        <w:ind w:left="927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58E581E"/>
    <w:multiLevelType w:val="hybridMultilevel"/>
    <w:tmpl w:val="906C1E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9961F3"/>
    <w:multiLevelType w:val="hybridMultilevel"/>
    <w:tmpl w:val="D144ACFC"/>
    <w:lvl w:ilvl="0" w:tplc="5A304DA8">
      <w:start w:val="1"/>
      <w:numFmt w:val="lowerLetter"/>
      <w:lvlText w:val="%1."/>
      <w:lvlJc w:val="left"/>
      <w:pPr>
        <w:ind w:left="927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0FA7A94"/>
    <w:multiLevelType w:val="hybridMultilevel"/>
    <w:tmpl w:val="AAE8FBC4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03"/>
    <w:rsid w:val="00084CF8"/>
    <w:rsid w:val="00136A66"/>
    <w:rsid w:val="00185B22"/>
    <w:rsid w:val="001A2BA6"/>
    <w:rsid w:val="001B5003"/>
    <w:rsid w:val="00261465"/>
    <w:rsid w:val="002624F3"/>
    <w:rsid w:val="00283859"/>
    <w:rsid w:val="002936E4"/>
    <w:rsid w:val="003334C5"/>
    <w:rsid w:val="00376992"/>
    <w:rsid w:val="003A268A"/>
    <w:rsid w:val="003D226D"/>
    <w:rsid w:val="00455D92"/>
    <w:rsid w:val="004E64AF"/>
    <w:rsid w:val="004F1890"/>
    <w:rsid w:val="005065C5"/>
    <w:rsid w:val="005109CB"/>
    <w:rsid w:val="005A74FB"/>
    <w:rsid w:val="005B0E99"/>
    <w:rsid w:val="005C0BF8"/>
    <w:rsid w:val="006307FB"/>
    <w:rsid w:val="006F735F"/>
    <w:rsid w:val="006F787E"/>
    <w:rsid w:val="00714C58"/>
    <w:rsid w:val="00744084"/>
    <w:rsid w:val="00780659"/>
    <w:rsid w:val="00871AE9"/>
    <w:rsid w:val="008A14C5"/>
    <w:rsid w:val="008F1F53"/>
    <w:rsid w:val="009148A5"/>
    <w:rsid w:val="009426D3"/>
    <w:rsid w:val="00A125C7"/>
    <w:rsid w:val="00A139ED"/>
    <w:rsid w:val="00B418F4"/>
    <w:rsid w:val="00BD4756"/>
    <w:rsid w:val="00BE4E6A"/>
    <w:rsid w:val="00BE6051"/>
    <w:rsid w:val="00C31C1A"/>
    <w:rsid w:val="00C60A96"/>
    <w:rsid w:val="00C94BC3"/>
    <w:rsid w:val="00D70AA3"/>
    <w:rsid w:val="00D92A37"/>
    <w:rsid w:val="00DB4377"/>
    <w:rsid w:val="00E26F29"/>
    <w:rsid w:val="00E83877"/>
    <w:rsid w:val="00EA30E6"/>
    <w:rsid w:val="00ED4C60"/>
    <w:rsid w:val="00FB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8C73F3-C291-4AAE-8154-3D2713CE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90"/>
    <w:rPr>
      <w:rFonts w:ascii="Segoe UI" w:hAnsi="Segoe UI" w:cs="Segoe UI"/>
      <w:noProof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1685602A69B49941147A16357C0D0" ma:contentTypeVersion="1" ma:contentTypeDescription="Create a new document." ma:contentTypeScope="" ma:versionID="b80b57a16c3c4071ada31e708eec7dd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d3c2ff1dfae606d6f8168c3878679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9EEB13-F55E-417D-AC47-16596AA63AFB}"/>
</file>

<file path=customXml/itemProps2.xml><?xml version="1.0" encoding="utf-8"?>
<ds:datastoreItem xmlns:ds="http://schemas.openxmlformats.org/officeDocument/2006/customXml" ds:itemID="{EFE1B28B-BD5B-4F72-A6E2-CF2E03EBEE22}"/>
</file>

<file path=customXml/itemProps3.xml><?xml version="1.0" encoding="utf-8"?>
<ds:datastoreItem xmlns:ds="http://schemas.openxmlformats.org/officeDocument/2006/customXml" ds:itemID="{886E362E-F6B0-474B-869C-47F57F12FC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</dc:creator>
  <cp:keywords/>
  <dc:description/>
  <cp:lastModifiedBy>Jessica Putri (PCS)</cp:lastModifiedBy>
  <cp:revision>3</cp:revision>
  <cp:lastPrinted>2019-12-12T02:34:00Z</cp:lastPrinted>
  <dcterms:created xsi:type="dcterms:W3CDTF">2019-12-12T02:34:00Z</dcterms:created>
  <dcterms:modified xsi:type="dcterms:W3CDTF">2019-12-12T02:51:00Z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0x0101008751685602A69B49941147A16357C0D0</vt:lpwstr>
  </property>
</Properties>
</file>