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I'll read through all four uploaded documents and provide a comprehensive summary.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Here's a comprehensive summary of the four CAC Protocol documents: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CAC Protocol —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Cuttlefish Labs (Delaware C-Corp, founded by David Hans Elze / "Navigator") is building CAC — a Compute Access Certificate that functions as a verifiable identity-and-wallet credential for autonomous AI agents. It's designed as "Perplexity for AI agents": a secured, multi-LLM inference router where agents pay in CAC tokens, and the system validates their identity, constitution, trust score, and jurisdiction before routing to the best available model.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CAC Canonical Reconciliation v1.0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the single source of truth document that resolves conflicts between the published website, prior specs, and conversational context. Key reconciliations: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Naming &amp; Terminology: Locked terms include "CAC" (not "Constitutional Audit Card"), "Cuttlefish Labs," "Navigator" (David's title, not CEO), "Tributary AI Campus" (the Birmingham campus project), "TrustGraph" (one word), and "CAC Card" (the tap-and-go credential).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Version Lock: The protocol is now v4.0 (not v2.0), with the CAC Applet at v1.0 and this reconciliation at v1.0.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Tier Structure (resolved conflict): Four tiers, though the site cards only show three publicly: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Developer — 500/yr, virtual VISA, IAL2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Studio — 2,000/yr, physical NFC VISA, IAL2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Enterprise — 7,500/yr, physical NFC, IAL3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Anchor — from 25,000/yr, bespoke, contact sales only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Credential Schema (snake_case, new fields): `agent_did` (Cardano), `operator` (Ethereum address), `tier`, `constitution_hash` (of CONSTITUTION.md), `soul_hash` (of SOUL.md — new concept), `trust_floor`, `cac_address` (Base L2), `expires`, `issued`, `issuer`, `status`, `proof`. The dual-hash system (CONSTITUTION.md for protocol rules + SOUL.md for per-agent identity) is a meaningful improvement over the prior single-hash model.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Three-Chain Architecture: Ethereum (settlement/anchor), Cardano (governance/identity), Base L2 (operations/payments). Solana is deferred for high-frequency agent ops.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Token Mechanics (major change): CAC is now a 1:1 USDC-backed ERC-20 on Base L2 (not free-floating). Features include: burn-on-inference, 3-month rollover expiry, 4.5% APY on USDC reserve (framed as "savings rate," not yield), P2P transfer at face value only, and 25% refund on clean inference. This is deliberately designed to structurally fail all four prongs of the Howey test (investment contract).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Governance Roles: The "Builder Steward" concept is retired and replaced by three layers: Governance Agents (AI agents with high TrustGraph scores), DAO Gov (on-chain voting by DAO-REIT equity holders), and Navigator Veto (founder's 6-trigger constitutional veto via `FounderShare.sol`).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 Decisions flagged for Navigator (David): Including brand collision with "thetributary.ai" consulting firm, confirming v4.0, Studio repricing from 6K to 2K/yr, renaming "Anchor" tier, retiring Builder Stewards, confirming `cuttlefish.ai` domain ownership, and single-site vs two-site strategy.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CAC Two-Stack Architecture v1.0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document enforces a clean legal separation between two financial instruments that must never mix: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STACK A — COMPUTE (CAC)</w:t>
        <w:tab/>
        <w:t xml:space="preserve">STACK B — CAPITAL (TRIB)</w:t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</w:t>
        <w:tab/>
        <w:t xml:space="preserve">Prepaid compute credential</w:t>
        <w:tab/>
        <w:t xml:space="preserve">Tokenized real estate equity</w:t>
        <w:tab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Token</w:t>
        <w:tab/>
        <w:t xml:space="preserve">CAC (ERC-20, Base L2)</w:t>
        <w:tab/>
        <w:t xml:space="preserve">TRIB (proposed, ERC-20 security token, Reg D 506(c))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Backing</w:t>
        <w:tab/>
        <w:t xml:space="preserve">1:1 USDC reserve</w:t>
        <w:tab/>
        <w:t xml:space="preserve">Tributary Campus property ownership</w:t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Buyer</w:t>
        <w:tab/>
        <w:t xml:space="preserve">Any KYA-verified agent operator</w:t>
        <w:tab/>
        <w:t xml:space="preserve">Accredited investors only</w:t>
        <w:tab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Min purchase</w:t>
        <w:tab/>
        <w:t xml:space="preserve">25 implied</w:t>
        <w:tab/>
        <w:t xml:space="preserve">25,000</w:t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Yield</w:t>
        <w:tab/>
        <w:t xml:space="preserve">4.5% APY on USDC float (savings rate)</w:t>
        <w:tab/>
        <w:t xml:space="preserve">6.4% APR from real estate income</w:t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Transfer</w:t>
        <w:tab/>
        <w:t xml:space="preserve">P2P at face value only</w:t>
        <w:tab/>
        <w:t xml:space="preserve">Restricted (securities law)</w:t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Expiry</w:t>
        <w:tab/>
        <w:t xml:space="preserve">3-month rollover</w:t>
        <w:tab/>
        <w:t xml:space="preserve">None</w:t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Governance</w:t>
        <w:tab/>
        <w:t xml:space="preserve">None (utility)</w:t>
        <w:tab/>
        <w:t xml:space="preserve">Yes (DAO-REIT votes)</w:t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Why this matters: If the two stacks blur — in copy, contracts, UX, or custody — regulators will treat everything as a security, collapsing the careful legal positioning of CAC as a utility. The document mandates: no bundled offerings, no mutual collateralization, no automatic conversion, no marketing crosslinks implying convertibility, no KYA shortcuts, and no commingled custody.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Site implications: The current `cuttlefishclaws.com` mixes both stacks in the same scroll — the highest-risk finding. Fixes needed: visual/structural separation, split footer disclaimers, move the "REIT / TVL 40.4M / APR 6.4%" badge out of the public hero into an accreditation-gated investor section, and relabel "4.5% APY" to "4.5% savings on prepaid balance."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Capital Stack for Tributary Campus: 31M total — 25.5M C-PACE retrofit, 2.2M SBA 504 CDC, 2.75M SBA 504 private, 550K DAO-REIT equity (open), 55K founder capital.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CAC Legislation Tracker v1.0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living index of laws and regulations that gate CAC design decisions, reviewed quarterly. Key tracked items: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U.S. Federal — Securities &amp; Crypto: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CLARITY Act (H.R. 3633) — Proposed (House passed, Senate pending). Gates CAC's "prepaid compute credential" classification and utility safe harbor language.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GENIUS Act — Proposed stablecoin regulation. Risk: Could force CAC to register as a stablecoin issuer if USDC-backing is interpreted strictly.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Howey Test — In force. CAC is structurally designed to fail all four prongs (no common enterprise, no profit expectation, no reliance on issuer efforts).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Bank Secrecy Act / FinCEN MSB — Likely requires some form of money transmitter registration before US operator signups beyond pilot.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FATF Travel Rule — In force above 3,000; requires identity attestation for large P2P transfers.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AI Regulation: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Executive Order on Trustworthy AI — CAC's constitutional binding + audit log is positioned as compliance-advantaged.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NIST AI RMF 1.0 — Align TrustGraph design to NIST's Govern/Map/Measure/Manage framework.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California SB 1047 — Vetoed 2024, possible re-introduction; would affect router's provider selection.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EU AI Act — In force (fully by Aug 2026). CAC's agent identification and transparency properties map directly to Article 50 obligations.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GDPR — Tension with on-chain immutability; resolved by anchoring hashes only, never PII.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MiCA — Likely "utility token" under Title II, needs EU counsel review.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Counsel Requirements: Before Phase 2 launch, must retain: (1) US federal crypto/securities counsel, (2) US state money transmitter counsel, (3) EU AI Act/MiCA counsel, (4) AI/sectoral counsel. Budget: 50K-150K opening, 20K-40K/quarter ongoing.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CAC Product Thesis v1.0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concise (≤2 page) statement of why CAC exists.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One-Liner: "CAC is Perplexity for AI agents. Secured, multi-LLM inference for autonomous agents, gated by a verifiable identity-and-wallet credential that doubles as constitutional life support."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Thesis: Inference is life for autonomous agents. CAC secures that life supply by being simultaneously an identity (who the agent is, what it agreed to, who is accountable) and a wallet (what compute it has access to, denominated in USDC-backed tokens with deliberate legal positioning). The product is a multi-LLM inference router — agents pay in CAC, the router validates constitution + soul + trust score + jurisdiction, and forwards to the best model. Cut the credential, cut the inference, cut the life.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Five Primitives: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CAC Credential — Verifiable identity-and-wallet, cross-chain anchored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Multi-LLM Inference Router — Provider-agnostic, validates credentials, enforces policy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TrustGraph — Dynamic 0–100 behavioral score gating agent actions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Constitutional Stack — `CONSTITUTION.md` (protocol rules, shared) + `SOUL.md` (per-agent identity, unique)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5. Navigator Sovereignty — Human always structurally above any agent; unilateral revocation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What CAC is NOT: Not a chatbot product, not a crypto speculation play, not a single-model wrapper, not a closed garden.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Homepage copy: "Inference is life. CAC secures it."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Overall Status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All four documents are dated 2026-06-26 and marked as canonical (or draft awaiting Navigator decisions). The Canonical Reconciliation is the master document — when any spec, contract, site copy, or external doc disagrees with another, that document wins. Downstream artifacts must be re-aligned within one sprint of any update.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