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Tabela 1 – Dimensões, subdimensões e indicadores atrelados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2592"/>
        <w:gridCol w:w="4752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DIMENSÃO DE CIC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SUBDIMENSÕES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EXEMPLO DE INDICADORES E AUTORES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Suporte tecnológico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Mobilidade inteligente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Rede de transporte público por habitante (Giffinger et al., 2007)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Tecnologia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Rede de transporte público por habitante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1F497D"/>
              </w:rPr>
              <w:t xml:space="preserve">(Giffinger et al., 2007)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Ambiente inteligente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Porcentagem de banda larga de alta velocidade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1F497D"/>
              </w:rPr>
              <w:t xml:space="preserve">(Urban Systems, 2019)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Vida inteligente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Planejamento urbano/ urbanismo/ arquitetura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Criatividade social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Pessoas inteligentes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Patentes (Urban Systems, 2019; Castro-Higueras &amp; Aguilera-Moyano, 2018)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Capital humano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Patentes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1F497D"/>
              </w:rPr>
              <w:t xml:space="preserve">(Urban Systems, 2019; Castro-Higueras &amp; Aguilera-Moyano, 2018)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Capital social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Número de teatros por cidade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1F497D"/>
              </w:rPr>
              <w:t xml:space="preserve">(Berrone &amp; Ricart, 2019)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Capital cultural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Participação de estrangeiros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1F497D"/>
              </w:rPr>
              <w:t xml:space="preserve">(Giffinger et al., 2007)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Inovação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Indústrias criativas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Classes criativas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Tolerância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Governança participativa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Governança inteligente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Parcela de representantes femininos nas cidades (Giffinger et al., 2007)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Coesão social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Parcela de representantes femininos nas cidades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1F497D"/>
              </w:rPr>
              <w:t xml:space="preserve">(Giffinger et al., 2007)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Conectividade social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Satisfação com a luta contra a corrupção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1F497D"/>
              </w:rPr>
              <w:t xml:space="preserve">(Giffinger et al., 2007)</w:t>
            </w:r>
          </w:p>
        </w:tc>
      </w:tr>
      <w:tr>
        <w:trPr>
          <w:trHeight w:val="360" w:hRule="auto"/>
        </w:trPr>
        body17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Economia e negócios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Economia inteligente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Transporte aéreo de passageiros (Giffinger et al., 2007; Figueiredo et al., 2019)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Economia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Transporte aéreo de passageiros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1F497D"/>
              </w:rPr>
              <w:t xml:space="preserve">(Giffinger et al., 2007; Figueiredo et al., 2019)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Empreendedorismo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Empregabilidade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1F497D"/>
              </w:rPr>
              <w:t xml:space="preserve">(Urban Systems, 2019)</w:t>
            </w:r>
          </w:p>
        </w:tc>
      </w:tr>
    </w:tbl>
    <w:p>
      <w:pPr>
        <w:pStyle w:val="Normal"/>
      </w:pPr>
      <w:r>
        <w:t xml:space="preserve">Fonte: Os autores (2025).</w:t>
      </w:r>
    </w:p>
    <w:sectPr>
      <w:pgMar w:header="708" w:bottom="1138" w:top="1699" w:right="1138" w:left="1699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2026-05-27T21:55:51Z</dcterms:modified>
  <cp:category/>
</cp:coreProperties>
</file>