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age-distribution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Age distribution:</w:t>
      </w:r>
    </w:p>
    <w:tbl>
      <w:tblPr>
        <w:tblStyle w:val="21"/>
        <w:tblW w:w="86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388"/>
        <w:gridCol w:w="5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 range</w:t>
            </w:r>
          </w:p>
        </w:tc>
        <w:tc>
          <w:tcPr>
            <w:tcW w:w="5602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australia"/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Australia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2010-2023: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"https://nindss.health.gov.au/pbi-dashboard/"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https://nindss.health.gov.au/pbi-dashboard/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1"/>
        </w:tc>
        <w:bookmarkStart w:id="2" w:name="new-zealand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New Zealand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2010-2023: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https://www.esr.cri.nz/search/?q=Notifiable%20diseases%20annual%20surveilla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"https://www.esr.cri.nz/search/?q=Notifiable%20diseases%20annual%20surveillance%20summary&amp;sortBy=Relevance"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nce%20summary&amp;sortBy=Relevance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2"/>
        </w:tc>
        <w:bookmarkStart w:id="3" w:name="the-united-states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restart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United States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2010-2019: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"https://www.cdc.gov/nndss/data-statistics/infectious-tables/index.html"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https://www.cdc.gov/nndss/data-statistics/infectious-tables/index.html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restart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2020-2023: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"https://www.cdc.gov/pertussis/downloads/pertuss-surv-report-2023_PROVISIONAL.pdf"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https://www.cdc.gov/pertussis/downloads/pertuss-surv-report-2023_PROVISIONAL.pdf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"https://www.cdc.gov/pertussis/downloads/pertuss-surv-report-2022_provisional.pdf"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https://www.cdc.gov/pertussis/downloads/pertuss-surv-report-2022_provisional.pdf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"https://www.cdc.gov/pertussis/downloads/pertuss-surv-report-2021.pdf"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https://www.cdc.gov/pertussis/downloads/pertuss-surv-report-2021.pdf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"https://www.cdc.gov/pertussis/downloads/pertuss-surv-report-2020.pdf"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https://www.cdc.gov/pertussis/downloads/pertuss-surv-report-2020.pdf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3"/>
        </w:tc>
        <w:bookmarkStart w:id="4" w:name="the-united-kingdom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restart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United Kingdom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2020-2023: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"https://www.gov.uk/government/publications/pertussis-epidemiology-in-england-2024/confirmed-cases-of-pertussis-in-england-by-month"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https://www.gov.uk/government/publications/pertussis-epidemiology-in-england-2024/confirmed-cases-of-pertussis-in-england-by-month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2010-2019: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"https://www.gov.uk/government/publications/pertussis-laboratory-confirmed-cases-reported-in-england-2022/laboratory-confirmed-cases-of-pertussis-in-england-annual-report-for-2022-supplementary-data-tables"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https://www.gov.uk/government/publications/pertussis-laboratory-confirmed-cases-reported-in-england-2022/laboratory-confirmed-cases-of-pertussis-in-england-annual-report-for-2022-supplementary-data-tables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4"/>
        </w:tc>
        <w:bookmarkStart w:id="5" w:name="sweden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Sweden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2010-2023: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"https://www.folkhalsomyndigheten.se/folkhalsorapportering-statistik/statistik-a-o/sjukdomsstatistik/kikhosta"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https://www.folkhalsomyndigheten.se/folkhalsorapportering-statistik/statistik-a-o/sjukdomsstatistik/kikhosta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5"/>
        </w:tc>
        <w:bookmarkStart w:id="6" w:name="other-european-union-countries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eastAsia="微软雅黑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</w:rPr>
              <w:t>Austria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Belgium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Bulgaria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Slovak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Slovenia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Romania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</w:rPr>
              <w:t>Poland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</w:rPr>
              <w:t>Portuguese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Norway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Netherlands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;M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alta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Latvia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bookmarkStart w:id="11" w:name="_GoBack"/>
            <w:bookmarkEnd w:id="11"/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Luxembourg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Lithuania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Italy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Iceland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Ireland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Hungary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Greece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</w:rPr>
              <w:t>Croatia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Finland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Spain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Estonia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Denmark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Germany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; 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Czech</w:t>
            </w:r>
            <w:r>
              <w:rPr>
                <w:rFonts w:hint="eastAsia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i w:val="0"/>
                <w:caps w:val="0"/>
                <w:color w:val="111111"/>
                <w:spacing w:val="0"/>
                <w:sz w:val="24"/>
                <w:szCs w:val="24"/>
                <w:shd w:val="clear" w:fill="FFFFFF"/>
                <w:lang w:val="en-US" w:eastAsia="zh-CN"/>
              </w:rPr>
              <w:t>Cyprus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2010-2022</w:t>
            </w:r>
          </w:p>
        </w:tc>
        <w:tc>
          <w:tcPr>
            <w:tcW w:w="5602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"https://atlas.ecdc.europa.eu/public/index.aspx"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https://atlas.ecdc.europa.eu/public/index.aspx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6"/>
        </w:tc>
        <w:bookmarkStart w:id="7" w:name="canada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Canada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2010-2021: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"https://diseases.canada.ca/notifiable/charts?c=cc"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https://diseases.canada.ca/notifiable/charts?c=cc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7"/>
        </w:tc>
        <w:bookmarkStart w:id="8" w:name="brazil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Brazil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2010-2022: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"https://www.gov.br/saude/pt-br/centrais-de-conteudo/publicacoes/boletins/epidemiologicos"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https://www.gov.br/saude/pt-br/centrais-de-conteudo/publicacoes/boletins/epidemiologicos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8"/>
        </w:tc>
        <w:bookmarkStart w:id="9" w:name="singapore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Singapore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2010-2020: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"https://www.moh.gov.sg/resources-statistics"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https://www.moh.gov.sg/resources-statistics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bookmarkEnd w:id="9"/>
        </w:tc>
        <w:bookmarkStart w:id="10" w:name="china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restart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China</w:t>
            </w:r>
          </w:p>
        </w:tc>
        <w:tc>
          <w:tcPr>
            <w:tcW w:w="1388" w:type="dxa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2010-2020: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"https://www.phsciencedata.cn/Share/"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https://www.phsciencedata.cn/Share/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restart"/>
            <w:vAlign w:val="center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2021-2022:</w:t>
            </w: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"https://www.nstl.gov.cn/paper_detail.html?id=d64225149cd8731484cac348c65b106a"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https://www.nstl.gov.cn/paper_detail.html?id=d64225149cd8731484cac348c65b106a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3" w:type="dxa"/>
            <w:vMerge w:val="continue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8" w:type="dxa"/>
            <w:vMerge w:val="continue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2" w:type="dxa"/>
          </w:tcPr>
          <w:p>
            <w:pPr>
              <w:pStyle w:val="5"/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"https://www.nstl.gov.cn/paper_detail.html?id=9b0497700000012dca60fefd8fef63fa" \h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https://www.nstl.gov.cn/paper_detail.html?id=9b0497700000012dca60fefd8fef63fa</w:t>
            </w:r>
            <w:r>
              <w:rPr>
                <w:rStyle w:val="23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pStyle w:val="5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bookmarkEnd w:id="0"/>
    <w:bookmarkEnd w:id="10"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3NTY2MjY2NLAwMzRW0lEKTi0uzszPAykwrAUAgaq1xSwAAAA="/>
  </w:docVars>
  <w:rsids>
    <w:rsidRoot w:val="000125D4"/>
    <w:rsid w:val="000125D4"/>
    <w:rsid w:val="000E49A8"/>
    <w:rsid w:val="14871D4D"/>
    <w:rsid w:val="3BAF1F19"/>
    <w:rsid w:val="3EAC3A7E"/>
    <w:rsid w:val="59FE0B92"/>
    <w:rsid w:val="6C1861BC"/>
    <w:rsid w:val="786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4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4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题注 字符"/>
    <w:basedOn w:val="22"/>
    <w:link w:val="12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character" w:customStyle="1" w:styleId="40">
    <w:name w:val="Section Number"/>
    <w:basedOn w:val="24"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2">
    <w:name w:val="KeywordTok"/>
    <w:basedOn w:val="38"/>
    <w:uiPriority w:val="0"/>
    <w:rPr>
      <w:rFonts w:ascii="Consolas" w:hAnsi="Consolas"/>
      <w:b/>
      <w:color w:val="007020"/>
      <w:sz w:val="22"/>
    </w:rPr>
  </w:style>
  <w:style w:type="character" w:customStyle="1" w:styleId="43">
    <w:name w:val="DataTypeTok"/>
    <w:basedOn w:val="38"/>
    <w:uiPriority w:val="0"/>
    <w:rPr>
      <w:rFonts w:ascii="Consolas" w:hAnsi="Consolas"/>
      <w:color w:val="902000"/>
      <w:sz w:val="22"/>
    </w:rPr>
  </w:style>
  <w:style w:type="character" w:customStyle="1" w:styleId="44">
    <w:name w:val="DecValTok"/>
    <w:basedOn w:val="38"/>
    <w:uiPriority w:val="0"/>
    <w:rPr>
      <w:rFonts w:ascii="Consolas" w:hAnsi="Consolas"/>
      <w:color w:val="40A070"/>
      <w:sz w:val="22"/>
    </w:rPr>
  </w:style>
  <w:style w:type="character" w:customStyle="1" w:styleId="45">
    <w:name w:val="BaseNTok"/>
    <w:basedOn w:val="38"/>
    <w:uiPriority w:val="0"/>
    <w:rPr>
      <w:rFonts w:ascii="Consolas" w:hAnsi="Consolas"/>
      <w:color w:val="40A070"/>
      <w:sz w:val="22"/>
    </w:rPr>
  </w:style>
  <w:style w:type="character" w:customStyle="1" w:styleId="46">
    <w:name w:val="FloatTok"/>
    <w:basedOn w:val="38"/>
    <w:uiPriority w:val="0"/>
    <w:rPr>
      <w:rFonts w:ascii="Consolas" w:hAnsi="Consolas"/>
      <w:color w:val="40A070"/>
      <w:sz w:val="22"/>
    </w:rPr>
  </w:style>
  <w:style w:type="character" w:customStyle="1" w:styleId="47">
    <w:name w:val="ConstantTok"/>
    <w:basedOn w:val="38"/>
    <w:uiPriority w:val="0"/>
    <w:rPr>
      <w:rFonts w:ascii="Consolas" w:hAnsi="Consolas"/>
      <w:color w:val="880000"/>
      <w:sz w:val="22"/>
    </w:rPr>
  </w:style>
  <w:style w:type="character" w:customStyle="1" w:styleId="48">
    <w:name w:val="CharTok"/>
    <w:basedOn w:val="38"/>
    <w:uiPriority w:val="0"/>
    <w:rPr>
      <w:rFonts w:ascii="Consolas" w:hAnsi="Consolas"/>
      <w:color w:val="4070A0"/>
      <w:sz w:val="22"/>
    </w:rPr>
  </w:style>
  <w:style w:type="character" w:customStyle="1" w:styleId="49">
    <w:name w:val="SpecialCharTok"/>
    <w:basedOn w:val="38"/>
    <w:uiPriority w:val="0"/>
    <w:rPr>
      <w:rFonts w:ascii="Consolas" w:hAnsi="Consolas"/>
      <w:color w:val="4070A0"/>
      <w:sz w:val="22"/>
    </w:rPr>
  </w:style>
  <w:style w:type="character" w:customStyle="1" w:styleId="50">
    <w:name w:val="StringTok"/>
    <w:basedOn w:val="38"/>
    <w:uiPriority w:val="0"/>
    <w:rPr>
      <w:rFonts w:ascii="Consolas" w:hAnsi="Consolas"/>
      <w:color w:val="4070A0"/>
      <w:sz w:val="22"/>
    </w:rPr>
  </w:style>
  <w:style w:type="character" w:customStyle="1" w:styleId="51">
    <w:name w:val="VerbatimStringTok"/>
    <w:basedOn w:val="38"/>
    <w:uiPriority w:val="0"/>
    <w:rPr>
      <w:rFonts w:ascii="Consolas" w:hAnsi="Consolas"/>
      <w:color w:val="4070A0"/>
      <w:sz w:val="22"/>
    </w:rPr>
  </w:style>
  <w:style w:type="character" w:customStyle="1" w:styleId="52">
    <w:name w:val="SpecialStringTok"/>
    <w:basedOn w:val="38"/>
    <w:uiPriority w:val="0"/>
    <w:rPr>
      <w:rFonts w:ascii="Consolas" w:hAnsi="Consolas"/>
      <w:color w:val="BB6688"/>
      <w:sz w:val="22"/>
    </w:rPr>
  </w:style>
  <w:style w:type="character" w:customStyle="1" w:styleId="53">
    <w:name w:val="ImportTok"/>
    <w:basedOn w:val="38"/>
    <w:uiPriority w:val="0"/>
    <w:rPr>
      <w:rFonts w:ascii="Consolas" w:hAnsi="Consolas"/>
      <w:b/>
      <w:color w:val="008000"/>
      <w:sz w:val="22"/>
    </w:rPr>
  </w:style>
  <w:style w:type="character" w:customStyle="1" w:styleId="54">
    <w:name w:val="CommentTok"/>
    <w:basedOn w:val="38"/>
    <w:uiPriority w:val="0"/>
    <w:rPr>
      <w:rFonts w:ascii="Consolas" w:hAnsi="Consolas"/>
      <w:i/>
      <w:color w:val="60A0B0"/>
      <w:sz w:val="22"/>
    </w:rPr>
  </w:style>
  <w:style w:type="character" w:customStyle="1" w:styleId="55">
    <w:name w:val="DocumentationTok"/>
    <w:basedOn w:val="38"/>
    <w:uiPriority w:val="0"/>
    <w:rPr>
      <w:rFonts w:ascii="Consolas" w:hAnsi="Consolas"/>
      <w:i/>
      <w:color w:val="BA2121"/>
      <w:sz w:val="22"/>
    </w:rPr>
  </w:style>
  <w:style w:type="character" w:customStyle="1" w:styleId="56">
    <w:name w:val="Annotation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CommentVar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58">
    <w:name w:val="OtherTok"/>
    <w:basedOn w:val="38"/>
    <w:uiPriority w:val="0"/>
    <w:rPr>
      <w:rFonts w:ascii="Consolas" w:hAnsi="Consolas"/>
      <w:color w:val="007020"/>
      <w:sz w:val="22"/>
    </w:rPr>
  </w:style>
  <w:style w:type="character" w:customStyle="1" w:styleId="59">
    <w:name w:val="FunctionTok"/>
    <w:basedOn w:val="38"/>
    <w:uiPriority w:val="0"/>
    <w:rPr>
      <w:rFonts w:ascii="Consolas" w:hAnsi="Consolas"/>
      <w:color w:val="06287E"/>
      <w:sz w:val="22"/>
    </w:rPr>
  </w:style>
  <w:style w:type="character" w:customStyle="1" w:styleId="60">
    <w:name w:val="VariableTok"/>
    <w:basedOn w:val="38"/>
    <w:uiPriority w:val="0"/>
    <w:rPr>
      <w:rFonts w:ascii="Consolas" w:hAnsi="Consolas"/>
      <w:color w:val="19177C"/>
      <w:sz w:val="22"/>
    </w:rPr>
  </w:style>
  <w:style w:type="character" w:customStyle="1" w:styleId="61">
    <w:name w:val="ControlFlowTok"/>
    <w:basedOn w:val="38"/>
    <w:uiPriority w:val="0"/>
    <w:rPr>
      <w:rFonts w:ascii="Consolas" w:hAnsi="Consolas"/>
      <w:b/>
      <w:color w:val="007020"/>
      <w:sz w:val="22"/>
    </w:rPr>
  </w:style>
  <w:style w:type="character" w:customStyle="1" w:styleId="62">
    <w:name w:val="OperatorTok"/>
    <w:basedOn w:val="38"/>
    <w:uiPriority w:val="0"/>
    <w:rPr>
      <w:rFonts w:ascii="Consolas" w:hAnsi="Consolas"/>
      <w:color w:val="666666"/>
      <w:sz w:val="22"/>
    </w:rPr>
  </w:style>
  <w:style w:type="character" w:customStyle="1" w:styleId="63">
    <w:name w:val="BuiltInTok"/>
    <w:basedOn w:val="38"/>
    <w:uiPriority w:val="0"/>
    <w:rPr>
      <w:rFonts w:ascii="Consolas" w:hAnsi="Consolas"/>
      <w:color w:val="008000"/>
      <w:sz w:val="22"/>
    </w:rPr>
  </w:style>
  <w:style w:type="character" w:customStyle="1" w:styleId="64">
    <w:name w:val="ExtensionTok"/>
    <w:basedOn w:val="38"/>
    <w:uiPriority w:val="0"/>
    <w:rPr>
      <w:rFonts w:ascii="Consolas" w:hAnsi="Consolas"/>
      <w:sz w:val="22"/>
    </w:rPr>
  </w:style>
  <w:style w:type="character" w:customStyle="1" w:styleId="65">
    <w:name w:val="PreprocessorTok"/>
    <w:basedOn w:val="38"/>
    <w:uiPriority w:val="0"/>
    <w:rPr>
      <w:rFonts w:ascii="Consolas" w:hAnsi="Consolas"/>
      <w:color w:val="BC7A00"/>
      <w:sz w:val="22"/>
    </w:rPr>
  </w:style>
  <w:style w:type="character" w:customStyle="1" w:styleId="66">
    <w:name w:val="AttributeTok"/>
    <w:basedOn w:val="38"/>
    <w:uiPriority w:val="0"/>
    <w:rPr>
      <w:rFonts w:ascii="Consolas" w:hAnsi="Consolas"/>
      <w:color w:val="7D9029"/>
      <w:sz w:val="22"/>
    </w:rPr>
  </w:style>
  <w:style w:type="character" w:customStyle="1" w:styleId="67">
    <w:name w:val="RegionMarkerTok"/>
    <w:basedOn w:val="38"/>
    <w:uiPriority w:val="0"/>
    <w:rPr>
      <w:rFonts w:ascii="Consolas" w:hAnsi="Consolas"/>
      <w:sz w:val="22"/>
    </w:rPr>
  </w:style>
  <w:style w:type="character" w:customStyle="1" w:styleId="68">
    <w:name w:val="Information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Warning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70">
    <w:name w:val="AlertTok"/>
    <w:basedOn w:val="38"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ErrorTok"/>
    <w:basedOn w:val="38"/>
    <w:uiPriority w:val="0"/>
    <w:rPr>
      <w:rFonts w:ascii="Consolas" w:hAnsi="Consolas"/>
      <w:b/>
      <w:color w:val="FF0000"/>
      <w:sz w:val="22"/>
    </w:rPr>
  </w:style>
  <w:style w:type="character" w:customStyle="1" w:styleId="72">
    <w:name w:val="NormalTok"/>
    <w:basedOn w:val="38"/>
    <w:uiPriority w:val="0"/>
    <w:rPr>
      <w:rFonts w:ascii="Consolas" w:hAnsi="Consolas"/>
      <w:sz w:val="22"/>
    </w:rPr>
  </w:style>
  <w:style w:type="character" w:customStyle="1" w:styleId="73">
    <w:name w:val="页眉 字符"/>
    <w:basedOn w:val="22"/>
    <w:link w:val="16"/>
    <w:uiPriority w:val="0"/>
    <w:rPr>
      <w:sz w:val="18"/>
      <w:szCs w:val="18"/>
    </w:rPr>
  </w:style>
  <w:style w:type="character" w:customStyle="1" w:styleId="74">
    <w:name w:val="页脚 字符"/>
    <w:basedOn w:val="22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502</Words>
  <Characters>2868</Characters>
  <Lines>23</Lines>
  <Paragraphs>6</Paragraphs>
  <TotalTime>121</TotalTime>
  <ScaleCrop>false</ScaleCrop>
  <LinksUpToDate>false</LinksUpToDate>
  <CharactersWithSpaces>3364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2024-06-13T11:55:00Z</dcterms:created>
  <dc:creator>WPS_1697516673</dc:creator>
  <cp:lastModifiedBy>WPS_1697516673</cp:lastModifiedBy>
  <dcterms:modified xsi:type="dcterms:W3CDTF">2024-06-13T14:36:33Z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2024-06-13T11:55:35Z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f3a5e4eb-f557-462b-ae68-0fef296ee183</vt:lpwstr>
  </property>
  <property fmtid="{D5CDD505-2E9C-101B-9397-08002B2CF9AE}" pid="7" name="MSIP_Label_defa4170-0d19-0005-0004-bc88714345d2_ActionId">
    <vt:lpwstr>36c9008c-a3b1-456f-ada4-922078f2fda2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2052-11.1.0.10009</vt:lpwstr>
  </property>
</Properties>
</file>