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/>
        <w:jc w:val="left"/>
        <w:textAlignment w:val="auto"/>
        <w:rPr>
          <w:rFonts w:hint="eastAsia" w:ascii="Times New Roman" w:hAnsi="Times New Roman" w:eastAsia="仿宋_GB2312"/>
          <w:b w:val="0"/>
          <w:bCs w:val="0"/>
          <w:sz w:val="28"/>
        </w:rPr>
      </w:pPr>
      <w:r>
        <w:rPr>
          <w:rFonts w:hint="eastAsia" w:ascii="Times New Roman" w:hAnsi="Times New Roman" w:eastAsia="仿宋_GB2312"/>
          <w:b w:val="0"/>
          <w:bCs w:val="0"/>
          <w:sz w:val="28"/>
        </w:rPr>
        <w:t>附件</w:t>
      </w:r>
    </w:p>
    <w:p>
      <w:pPr>
        <w:jc w:val="center"/>
        <w:rPr>
          <w:rFonts w:hint="eastAsia" w:ascii="Times New Roman" w:hAnsi="Times New Roman" w:eastAsia="仿宋_GB2312"/>
          <w:b w:val="0"/>
          <w:bCs w:val="0"/>
          <w:sz w:val="28"/>
        </w:rPr>
      </w:pPr>
      <w:bookmarkStart w:id="0" w:name="_GoBack"/>
      <w:r>
        <w:rPr>
          <w:rFonts w:hint="default" w:ascii="Times New Roman" w:hAnsi="Times New Roman"/>
          <w:b/>
          <w:bCs/>
          <w:sz w:val="24"/>
        </w:rPr>
        <w:t>20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20</w:t>
      </w:r>
      <w:r>
        <w:rPr>
          <w:rFonts w:hint="eastAsia" w:ascii="Times New Roman" w:hAnsi="Times New Roman"/>
          <w:b/>
          <w:bCs/>
          <w:sz w:val="24"/>
        </w:rPr>
        <w:t>年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7</w:t>
      </w:r>
      <w:r>
        <w:rPr>
          <w:rFonts w:hint="eastAsia" w:ascii="Times New Roman" w:hAnsi="Times New Roman"/>
          <w:b/>
          <w:bCs/>
          <w:sz w:val="24"/>
        </w:rPr>
        <w:t>月广东省法定甲、乙类报告传染病发病、死亡统计表</w:t>
      </w:r>
      <w:bookmarkEnd w:id="0"/>
    </w:p>
    <w:tbl>
      <w:tblPr>
        <w:tblStyle w:val="3"/>
        <w:tblW w:w="826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2373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beforeLines="0" w:afterLines="0" w:line="240" w:lineRule="exact"/>
              <w:ind w:firstLine="319" w:firstLineChars="133"/>
              <w:jc w:val="lef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疾病病种</w:t>
            </w:r>
          </w:p>
        </w:tc>
        <w:tc>
          <w:tcPr>
            <w:tcW w:w="237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beforeLines="0" w:afterLines="0" w:line="240" w:lineRule="exact"/>
              <w:ind w:right="155" w:rightChars="74"/>
              <w:jc w:val="righ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本期发病数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beforeLines="0" w:afterLines="0" w:line="240" w:lineRule="exact"/>
              <w:ind w:right="155" w:rightChars="74"/>
              <w:jc w:val="right"/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</w:rPr>
              <w:t>本期死亡数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甲乙合计</w:t>
            </w:r>
          </w:p>
        </w:tc>
        <w:tc>
          <w:tcPr>
            <w:tcW w:w="2373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36913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鼠 疫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霍 乱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传染性非典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艾滋病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452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肝 炎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20300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　甲肝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196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　乙肝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16996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　丙肝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2832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　丁肝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　戊肝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213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　肝炎（未分型）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59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脊 灰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人感染高致病性禽流感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麻 疹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出 血 热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狂 犬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乙脑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登革热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炭 疽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痢 疾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113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肺结核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6968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伤寒+副伤寒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130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流 脑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百 日 咳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白 喉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新生儿破伤风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猩 红 热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52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布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50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淋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2606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梅 毒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6137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钩 体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血吸虫病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疟疾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人感染H7N9禽流感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79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ind w:firstLine="279" w:firstLineChars="133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新冠肺炎</w:t>
            </w:r>
          </w:p>
        </w:tc>
        <w:tc>
          <w:tcPr>
            <w:tcW w:w="2373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39</w:t>
            </w:r>
          </w:p>
        </w:tc>
        <w:tc>
          <w:tcPr>
            <w:tcW w:w="2409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exact"/>
              <w:jc w:val="right"/>
              <w:rPr>
                <w:rFonts w:hint="default" w:ascii="Times New Roman" w:hAnsi="Times New Roman" w:eastAsia="宋体" w:cs="Times New Roman"/>
                <w:color w:val="000000"/>
                <w:sz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</w:rPr>
              <w:t>0</w:t>
            </w:r>
          </w:p>
        </w:tc>
      </w:tr>
    </w:tbl>
    <w:p>
      <w:pPr>
        <w:jc w:val="center"/>
        <w:rPr>
          <w:rFonts w:hint="eastAsia" w:ascii="Times New Roman" w:hAnsi="Times New Roman"/>
          <w:b/>
          <w:bCs/>
          <w:sz w:val="24"/>
        </w:rPr>
      </w:pP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</w:rPr>
        <w:t>注：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 xml:space="preserve">. </w:t>
      </w:r>
      <w:r>
        <w:rPr>
          <w:rFonts w:ascii="Times New Roman" w:hAnsi="Times New Roman"/>
          <w:sz w:val="21"/>
          <w:szCs w:val="21"/>
        </w:rPr>
        <w:t>2013年起，乙肝、丙肝的发病数和死亡数包含急性病和慢性病患者人数（2013年</w:t>
      </w: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      之前仅统计急性发病人数）。</w:t>
      </w:r>
    </w:p>
    <w:p>
      <w:pPr>
        <w:snapToGrid w:val="0"/>
        <w:spacing w:beforeLines="0" w:afterLines="0" w:line="360" w:lineRule="exact"/>
        <w:ind w:firstLine="630" w:firstLineChars="300"/>
        <w:jc w:val="left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2</w:t>
      </w:r>
      <w:r>
        <w:rPr>
          <w:rFonts w:hint="eastAsia" w:ascii="Times New Roman" w:hAnsi="Times New Roman"/>
          <w:sz w:val="21"/>
          <w:lang w:val="en-US" w:eastAsia="zh-CN"/>
        </w:rPr>
        <w:t xml:space="preserve">. </w:t>
      </w:r>
      <w:r>
        <w:rPr>
          <w:rFonts w:hint="eastAsia" w:ascii="Times New Roman" w:hAnsi="Times New Roman"/>
          <w:sz w:val="21"/>
        </w:rPr>
        <w:t>2014年起，甲型H1N1流感纳入流行性感冒统计汇总。</w:t>
      </w: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 xml:space="preserve">    3</w:t>
      </w:r>
      <w:r>
        <w:rPr>
          <w:rFonts w:hint="eastAsia" w:ascii="Times New Roman" w:hAnsi="Times New Roman"/>
          <w:sz w:val="21"/>
          <w:lang w:val="en-US" w:eastAsia="zh-CN"/>
        </w:rPr>
        <w:t xml:space="preserve">. </w:t>
      </w:r>
      <w:r>
        <w:rPr>
          <w:rFonts w:hint="eastAsia" w:ascii="Times New Roman" w:hAnsi="Times New Roman"/>
          <w:sz w:val="21"/>
        </w:rPr>
        <w:t>2016年起，病毒性肝炎分型中丁肝实行单列统计。</w:t>
      </w:r>
    </w:p>
    <w:p>
      <w:pPr>
        <w:numPr>
          <w:ilvl w:val="0"/>
          <w:numId w:val="0"/>
        </w:num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 xml:space="preserve">    </w:t>
      </w:r>
      <w:r>
        <w:rPr>
          <w:rFonts w:hint="eastAsia" w:ascii="Times New Roman" w:hAnsi="Times New Roman"/>
          <w:sz w:val="21"/>
          <w:lang w:val="en-US" w:eastAsia="zh-CN"/>
        </w:rPr>
        <w:t>4.2020年1月20日起，</w:t>
      </w:r>
      <w:r>
        <w:rPr>
          <w:rFonts w:hint="eastAsia" w:ascii="Times New Roman" w:hAnsi="Times New Roman"/>
          <w:sz w:val="21"/>
          <w:szCs w:val="24"/>
          <w:lang w:eastAsia="zh-CN"/>
        </w:rPr>
        <w:t>新冠肺炎</w:t>
      </w:r>
      <w:r>
        <w:rPr>
          <w:rFonts w:hint="eastAsia" w:ascii="Times New Roman" w:hAnsi="Times New Roman"/>
          <w:sz w:val="21"/>
          <w:lang w:val="en-US" w:eastAsia="zh-CN"/>
        </w:rPr>
        <w:t>纳入乙类传染病，采取甲类传染病的预防、控制措施。</w:t>
      </w:r>
    </w:p>
    <w:p>
      <w:pPr>
        <w:numPr>
          <w:ilvl w:val="0"/>
          <w:numId w:val="0"/>
        </w:num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</w:rPr>
        <w:t xml:space="preserve">    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5.</w:t>
      </w:r>
      <w:r>
        <w:rPr>
          <w:rFonts w:hint="eastAsia" w:ascii="Times New Roman" w:hAnsi="Times New Roman"/>
          <w:sz w:val="21"/>
          <w:szCs w:val="24"/>
        </w:rPr>
        <w:t>本月我省报告</w:t>
      </w:r>
      <w:r>
        <w:rPr>
          <w:rFonts w:hint="eastAsia" w:ascii="Times New Roman" w:hAnsi="Times New Roman"/>
          <w:sz w:val="21"/>
          <w:szCs w:val="24"/>
          <w:highlight w:val="none"/>
          <w:lang w:val="en-US" w:eastAsia="zh-CN"/>
        </w:rPr>
        <w:t>新冠肺炎</w:t>
      </w:r>
      <w:r>
        <w:rPr>
          <w:rFonts w:hint="eastAsia" w:ascii="Times New Roman" w:hAnsi="Times New Roman"/>
          <w:sz w:val="21"/>
          <w:szCs w:val="24"/>
          <w:highlight w:val="none"/>
          <w:lang w:eastAsia="zh-CN"/>
        </w:rPr>
        <w:t>、</w:t>
      </w:r>
      <w:r>
        <w:rPr>
          <w:rFonts w:hint="eastAsia" w:ascii="Times New Roman" w:hAnsi="Times New Roman"/>
          <w:sz w:val="21"/>
          <w:szCs w:val="24"/>
        </w:rPr>
        <w:t>疟疾</w:t>
      </w:r>
      <w:r>
        <w:rPr>
          <w:rFonts w:hint="eastAsia" w:ascii="Times New Roman" w:hAnsi="Times New Roman"/>
          <w:sz w:val="21"/>
          <w:szCs w:val="24"/>
          <w:lang w:eastAsia="zh-CN"/>
        </w:rPr>
        <w:t>、登革热</w:t>
      </w:r>
      <w:r>
        <w:rPr>
          <w:rFonts w:hint="eastAsia" w:ascii="Times New Roman" w:hAnsi="Times New Roman"/>
          <w:sz w:val="21"/>
          <w:szCs w:val="24"/>
        </w:rPr>
        <w:t>病例均为输入病例。</w:t>
      </w:r>
    </w:p>
    <w:p>
      <w:pPr>
        <w:numPr>
          <w:ilvl w:val="0"/>
          <w:numId w:val="0"/>
        </w:num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  <w:szCs w:val="24"/>
          <w:lang w:eastAsia="zh-CN"/>
        </w:rPr>
      </w:pPr>
      <w:r>
        <w:rPr>
          <w:rFonts w:hint="eastAsia" w:ascii="Times New Roman" w:hAnsi="Times New Roman"/>
          <w:sz w:val="21"/>
        </w:rPr>
        <w:t xml:space="preserve">    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6.</w:t>
      </w:r>
      <w:r>
        <w:rPr>
          <w:rFonts w:hint="eastAsia" w:ascii="Times New Roman" w:hAnsi="Times New Roman" w:eastAsia="宋体"/>
          <w:sz w:val="21"/>
          <w:szCs w:val="24"/>
        </w:rPr>
        <w:t>本月我省</w:t>
      </w:r>
      <w:r>
        <w:rPr>
          <w:rFonts w:hint="eastAsia" w:ascii="Times New Roman" w:hAnsi="Times New Roman"/>
          <w:sz w:val="21"/>
          <w:szCs w:val="24"/>
          <w:lang w:eastAsia="zh-CN"/>
        </w:rPr>
        <w:t>新冠肺炎</w:t>
      </w:r>
      <w:r>
        <w:rPr>
          <w:rFonts w:hint="eastAsia" w:ascii="Times New Roman" w:hAnsi="Times New Roman" w:eastAsia="宋体"/>
          <w:sz w:val="21"/>
          <w:szCs w:val="24"/>
        </w:rPr>
        <w:t>病例按报告单位所在地区统计（</w:t>
      </w:r>
      <w:r>
        <w:rPr>
          <w:rFonts w:hint="eastAsia" w:ascii="Times New Roman" w:hAnsi="Times New Roman"/>
          <w:sz w:val="21"/>
          <w:szCs w:val="24"/>
          <w:lang w:eastAsia="zh-CN"/>
        </w:rPr>
        <w:t>均为境外</w:t>
      </w:r>
      <w:r>
        <w:rPr>
          <w:rFonts w:hint="eastAsia" w:ascii="Times New Roman" w:hAnsi="Times New Roman" w:eastAsia="宋体"/>
          <w:sz w:val="21"/>
          <w:szCs w:val="24"/>
        </w:rPr>
        <w:t>输入病例）。</w:t>
      </w:r>
    </w:p>
    <w:p/>
    <w:sectPr>
      <w:pgSz w:w="11906" w:h="16838"/>
      <w:pgMar w:top="1134" w:right="1531" w:bottom="1134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B57B0"/>
    <w:rsid w:val="45CA5A85"/>
    <w:rsid w:val="486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省卫生和计划生育委员会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2020-08-13T09:49:00Z</dcterms:created>
  <dc:creator>eva</dc:creator>
  <cp:lastModifiedBy>eva</cp:lastModifiedBy>
  <dcterms:modified xsi:type="dcterms:W3CDTF">2020-08-13T09:49:55Z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