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8880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0"/>
        <w:gridCol w:w="2960"/>
        <w:gridCol w:w="32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5" w:hRule="atLeast"/>
        </w:trPr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kern w:val="0"/>
                <w:sz w:val="28"/>
                <w:szCs w:val="28"/>
              </w:rPr>
            </w:pPr>
            <w:r>
              <w:rPr>
                <w:rFonts w:hint="eastAsia" w:ascii="宋体" w:hAnsi="宋体" w:cs="宋体"/>
                <w:kern w:val="0"/>
                <w:sz w:val="28"/>
                <w:szCs w:val="28"/>
              </w:rPr>
              <w:t xml:space="preserve">附表 </w:t>
            </w:r>
          </w:p>
        </w:tc>
        <w:tc>
          <w:tcPr>
            <w:tcW w:w="296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8"/>
                <w:szCs w:val="28"/>
              </w:rPr>
            </w:pP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/>
              <w:jc w:val="left"/>
              <w:rPr>
                <w:rFonts w:ascii="宋体" w:hAnsi="宋体" w:cs="宋体"/>
                <w:b/>
                <w:bCs/>
                <w:kern w:val="0"/>
                <w:sz w:val="32"/>
                <w:szCs w:val="32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32"/>
                <w:szCs w:val="32"/>
              </w:rPr>
              <w:t xml:space="preserve">     2019年9月浙江省法定传染病发病、死亡统计表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疾病病种</w:t>
            </w:r>
          </w:p>
        </w:tc>
        <w:tc>
          <w:tcPr>
            <w:tcW w:w="296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发病数</w:t>
            </w:r>
          </w:p>
        </w:tc>
        <w:tc>
          <w:tcPr>
            <w:tcW w:w="3240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死亡数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>甲乙丙类总计</w:t>
            </w:r>
          </w:p>
        </w:tc>
        <w:tc>
          <w:tcPr>
            <w:tcW w:w="296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34109</w:t>
            </w:r>
          </w:p>
        </w:tc>
        <w:tc>
          <w:tcPr>
            <w:tcW w:w="324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31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 xml:space="preserve">  甲乙类传染病合计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10357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鼠疫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霍乱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传染性非典型肺炎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艾滋病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144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病毒性肝炎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1900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     甲型肝炎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36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     乙型肝炎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1385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     丙型肝炎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312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     丁型肝炎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000000" w:sz="4" w:space="0"/>
            </w:tcBorders>
            <w:noWrap w:val="0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     戊型肝炎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 xml:space="preserve">      肝炎未分型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54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脊髓灰质炎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人感染高致病性禽流感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麻疹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8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流行性出血热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狂犬病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流行性乙型脑炎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登革热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304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炭疽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细菌性和阿米巴性痢疾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166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肺结核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2952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伤寒与副伤寒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流行性脑脊髓膜炎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百日咳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67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白喉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新生儿破伤风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猩红热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布鲁氏菌病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7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淋病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1234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梅毒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3419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钩端螺旋体病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血吸虫病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疟疾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人感染H7N9禽流感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0"/>
                <w:szCs w:val="20"/>
              </w:rPr>
              <w:t xml:space="preserve">  丙类传染病合计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23752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流行性感冒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5730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流行性腮腺炎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712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风疹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24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急性出血性结膜炎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70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麻风病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斑疹伤寒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黑热病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包虫病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丝虫病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其它感染性腹泻病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7910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 xml:space="preserve">   手足口病</w:t>
            </w:r>
          </w:p>
        </w:tc>
        <w:tc>
          <w:tcPr>
            <w:tcW w:w="296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9304</w:t>
            </w:r>
          </w:p>
        </w:tc>
        <w:tc>
          <w:tcPr>
            <w:tcW w:w="324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8880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/>
              <w:jc w:val="left"/>
              <w:rPr>
                <w:rFonts w:hint="eastAsia"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注：病毒性肝炎的发病数和死亡数为甲肝、乙肝、丙肝、丁肝、戊肝和未分型肝炎报告发病数和死亡数的合计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8880" w:type="dxa"/>
            <w:gridSpan w:val="3"/>
            <w:tcBorders>
              <w:top w:val="nil"/>
              <w:left w:val="nil"/>
              <w:bottom w:val="nil"/>
              <w:right w:val="nil"/>
            </w:tcBorders>
            <w:noWrap w:val="0"/>
            <w:vAlign w:val="bottom"/>
          </w:tcPr>
          <w:p>
            <w:pPr>
              <w:widowControl/>
              <w:jc w:val="right"/>
              <w:rPr>
                <w:rFonts w:hint="eastAsia" w:ascii="宋体" w:hAnsi="宋体" w:cs="宋体"/>
                <w:kern w:val="0"/>
                <w:sz w:val="22"/>
                <w:szCs w:val="22"/>
              </w:rPr>
            </w:pPr>
            <w:r>
              <w:rPr>
                <w:rFonts w:hint="eastAsia" w:ascii="宋体" w:hAnsi="宋体" w:cs="宋体"/>
                <w:kern w:val="0"/>
                <w:sz w:val="22"/>
                <w:szCs w:val="22"/>
              </w:rPr>
              <w:t>浙江省疾病预防控制中心公共卫生监测与业务指导所提供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8B46DF"/>
    <w:rsid w:val="0AC10AFC"/>
    <w:rsid w:val="6F8B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2019-10-12T09:10:00Z</dcterms:created>
  <dc:creator>admin</dc:creator>
  <cp:lastModifiedBy>admin</cp:lastModifiedBy>
  <dcterms:modified xsi:type="dcterms:W3CDTF">2019-10-12T09:11:09Z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2052-11.8.2.8276</vt:lpwstr>
  </property>
</Properties>
</file>