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364"/>
          <w:sz w:val="30"/>
          <w:u w:val="none"/>
        </w:rPr>
        <w:t>Table 1 · 复现结果与论文对比</w:t>
      </w:r>
    </w:p>
    <w:p>
      <w:pPr>
        <w:spacing w:after="120"/>
        <w:jc w:val="center"/>
      </w:pPr>
      <w:r>
        <w:rPr>
          <w:rFonts w:ascii="宋体" w:hAnsi="宋体" w:eastAsia="宋体"/>
          <w:b w:val="0"/>
          <w:color w:val="555555"/>
          <w:sz w:val="18"/>
          <w:u w:val="none"/>
        </w:rPr>
        <w:t>Results on DeepCAD test set　|　黄色底纹 = 本复现结果</w:t>
      </w:r>
    </w:p>
    <w:tbl>
      <w:tblPr>
        <w:tblStyle w:val="TableGrid"/>
        <w:tblW w:type="dxa" w:w="15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1077"/>
        <w:gridCol w:w="1292"/>
        <w:gridCol w:w="1292"/>
        <w:gridCol w:w="1292"/>
        <w:gridCol w:w="1292"/>
        <w:gridCol w:w="1292"/>
        <w:gridCol w:w="1292"/>
        <w:gridCol w:w="1292"/>
        <w:gridCol w:w="1292"/>
        <w:gridCol w:w="1292"/>
      </w:tblGrid>
      <w:tr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Method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Train Data</w:t>
            </w:r>
          </w:p>
        </w:tc>
        <w:tc>
          <w:tcPr>
            <w:tcW w:type="dxa" w:w="3879"/>
            <w:gridSpan w:val="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Point Cloud</w:t>
            </w:r>
          </w:p>
        </w:tc>
        <w:tc>
          <w:tcPr>
            <w:tcW w:type="dxa" w:w="3879"/>
            <w:gridSpan w:val="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Multi-view Images</w:t>
            </w:r>
          </w:p>
        </w:tc>
        <w:tc>
          <w:tcPr>
            <w:tcW w:type="dxa" w:w="3879"/>
            <w:gridSpan w:val="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Text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CD↓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IoU↑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IR↓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CD↓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IoU↑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IR↓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CD↓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IoU↑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IR↓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PointNet→DeepCAD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9.64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46.7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7.1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Point-BERT→HNC-CAD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8.64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65.3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5.6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MultiCAD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8.09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11.5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TransCAD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4.51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65.5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PrismCAD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4.28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72.1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16.2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Point2Cyl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4.27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73.8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3.9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CAD-Diffuser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3.02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74.3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1.5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CAD-SIGNet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0.29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77.3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5.0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DINOv2→HNC-CAD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D_i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2.08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10.1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DINOv2→DeepCAD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D_i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1.13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10.6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CADCrafter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D_i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0.26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3.6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BERT→DeepCAD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D_t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32.82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10.0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CADmium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D_t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0.38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4.3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Text2CAD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D_t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0.37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71.5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3.7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CAD-Coder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D_t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0.33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5.3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Text-to-CadQuery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D_t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0.22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single"/>
              </w:rPr>
              <w:t>1.3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cadrille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D_pit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0.25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79.4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0.4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0.25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78.2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0.21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81.1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1.4</w:t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CAD-Recode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R_p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single"/>
              </w:rPr>
              <w:t>87.1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3.1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cadrille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R_pi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87.1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2.1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86.1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1.5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</w:r>
          </w:p>
        </w:tc>
      </w:tr>
      <w:tr>
        <w:tc>
          <w:tcPr>
            <w:tcW w:type="dxa" w:w="249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cadrille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R_pi + D_t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0.18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87.1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2.1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0.18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86.1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1.5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0.20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82.1</w:t>
            </w:r>
          </w:p>
        </w:tc>
        <w:tc>
          <w:tcPr>
            <w:tcW w:type="dxa" w:w="1293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single"/>
              </w:rPr>
              <w:t>1.4</w:t>
            </w:r>
          </w:p>
        </w:tc>
      </w:tr>
      <w:tr>
        <w:tc>
          <w:tcPr>
            <w:tcW w:type="dxa" w:w="2494"/>
            <w:shd w:val="clear" w:color="auto" w:fill="FFF2A8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cadrille (reproduced)</w:t>
            </w:r>
          </w:p>
        </w:tc>
        <w:tc>
          <w:tcPr>
            <w:tcW w:type="dxa" w:w="1077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R_pi + D_t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0.180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87.3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1.86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0.184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86.6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1.44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0.202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82.3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2.56</w:t>
            </w:r>
          </w:p>
        </w:tc>
      </w:tr>
      <w:tr>
        <w:tc>
          <w:tcPr>
            <w:tcW w:type="dxa" w:w="2494"/>
            <w:shd w:val="clear" w:color="auto" w:fill="FFF2A8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CAD-Recode (reproduced)</w:t>
            </w:r>
          </w:p>
        </w:tc>
        <w:tc>
          <w:tcPr>
            <w:tcW w:type="dxa" w:w="1077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R_p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0.177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87.9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2.75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—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—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—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—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—</w:t>
            </w:r>
          </w:p>
        </w:tc>
        <w:tc>
          <w:tcPr>
            <w:tcW w:type="dxa" w:w="1293"/>
            <w:shd w:val="clear" w:color="auto" w:fill="FFF2A8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—</w:t>
            </w:r>
          </w:p>
        </w:tc>
      </w:tr>
    </w:tbl>
    <w:p>
      <w:pPr>
        <w:spacing w:before="120"/>
      </w:pPr>
      <w:r>
        <w:rPr>
          <w:rFonts w:ascii="宋体" w:hAnsi="宋体" w:eastAsia="宋体"/>
          <w:b/>
          <w:sz w:val="17"/>
          <w:u w:val="none"/>
        </w:rPr>
        <w:t xml:space="preserve">Table 1: </w:t>
      </w:r>
      <w:r>
        <w:rPr>
          <w:rFonts w:ascii="宋体" w:hAnsi="宋体" w:eastAsia="宋体"/>
          <w:b w:val="0"/>
          <w:sz w:val="17"/>
          <w:u w:val="none"/>
        </w:rPr>
        <w:t>Results on DeepCAD test set. The best results are bold, the second best are underlined. 黄色底纹两行为本复现实测值（10 秒评估超时，无 RL 微调、无 test-time sampling，与论文 Table 1 口径一致）。</w:t>
      </w:r>
    </w:p>
    <w:p>
      <w:r>
        <w:br w:type="page"/>
      </w:r>
    </w:p>
    <w:p>
      <w:pPr>
        <w:spacing w:after="80"/>
      </w:pPr>
      <w:r>
        <w:rPr>
          <w:rFonts w:ascii="微软雅黑" w:hAnsi="微软雅黑" w:eastAsia="微软雅黑"/>
          <w:b/>
          <w:color w:val="1F3364"/>
          <w:sz w:val="22"/>
          <w:u w:val="none"/>
        </w:rPr>
        <w:t>本复现结果逐项对比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行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模态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CD↓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IoU↑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IR↓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论文 CD/IoU/IR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ΔCD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ΔIoU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  <w:u w:val="none"/>
              </w:rPr>
              <w:t>ΔIR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cadrille R_pi + D_t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点云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87.3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1.86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 / 87.1 / 2.1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0.000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+0.2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−0.24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cadrille R_pi + D_t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图像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86.6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1.44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 / 86.1 / 1.5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+0.004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+0.5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−0.06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cadrille R_pi + D_t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文本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0.202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82.3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2.56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0.20 / 82.1 / 1.4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+0.002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+0.2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+1.16</w:t>
            </w:r>
          </w:p>
        </w:tc>
      </w:tr>
      <w:tr>
        <w:tc>
          <w:tcPr>
            <w:tcW w:type="dxa" w:w="1584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CAD-Recode R_p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点云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0.177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87.9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2.75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0.18 / 87.1 / 3.1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−0.003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+0.8</w:t>
            </w:r>
          </w:p>
        </w:tc>
        <w:tc>
          <w:tcPr>
            <w:tcW w:type="dxa" w:w="1584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  <w:u w:val="none"/>
              </w:rPr>
              <w:t>−0.35</w:t>
            </w:r>
          </w:p>
        </w:tc>
      </w:tr>
    </w:tbl>
    <w:p>
      <w:pPr>
        <w:spacing w:before="20" w:after="20"/>
      </w:pPr>
      <w:r>
        <w:rPr>
          <w:rFonts w:ascii="宋体" w:hAnsi="宋体" w:eastAsia="宋体"/>
          <w:b w:val="0"/>
          <w:color w:val="444444"/>
          <w:sz w:val="17"/>
          <w:u w:val="none"/>
        </w:rPr>
        <w:t>· 统计：12 个指标中 11 个与论文一致（91.7%）；CAD-Recode 行三项全部优于论文。</w:t>
      </w:r>
    </w:p>
    <w:p>
      <w:pPr>
        <w:spacing w:before="20" w:after="20"/>
      </w:pPr>
      <w:r>
        <w:rPr>
          <w:rFonts w:ascii="宋体" w:hAnsi="宋体" w:eastAsia="宋体"/>
          <w:b w:val="0"/>
          <w:color w:val="444444"/>
          <w:sz w:val="17"/>
          <w:u w:val="none"/>
        </w:rPr>
        <w:t>· CD 单位已乘 10³；IoU、IR 单位为 %。评估集：DeepCAD test 8046 个样本。</w:t>
      </w:r>
    </w:p>
    <w:p>
      <w:pPr>
        <w:spacing w:before="20" w:after="20"/>
      </w:pPr>
      <w:r>
        <w:rPr>
          <w:rFonts w:ascii="宋体" w:hAnsi="宋体" w:eastAsia="宋体"/>
          <w:b w:val="0"/>
          <w:color w:val="444444"/>
          <w:sz w:val="17"/>
          <w:u w:val="none"/>
        </w:rPr>
        <w:t>· 评估超时：本复现使用 10 秒（官方默认 3 秒会导致 IR 虚高约 0.5 个百分点）。</w:t>
      </w:r>
    </w:p>
    <w:p>
      <w:pPr>
        <w:spacing w:before="20" w:after="20"/>
      </w:pPr>
      <w:r>
        <w:rPr>
          <w:rFonts w:ascii="宋体" w:hAnsi="宋体" w:eastAsia="宋体"/>
          <w:b w:val="0"/>
          <w:color w:val="444444"/>
          <w:sz w:val="17"/>
          <w:u w:val="none"/>
        </w:rPr>
        <w:t>· 标注说明：官方发布权重对应 R_pi + D_t 配置（三个模态均可推理）。该行与 R_pi 行在点云/图像列数值完全相同，故同时覆盖 R_pi 行的 6 个指标。</w:t>
      </w:r>
    </w:p>
    <w:p>
      <w:pPr>
        <w:spacing w:before="20" w:after="20"/>
      </w:pPr>
      <w:r>
        <w:rPr>
          <w:rFonts w:ascii="宋体" w:hAnsi="宋体" w:eastAsia="宋体"/>
          <w:b w:val="0"/>
          <w:color w:val="444444"/>
          <w:sz w:val="17"/>
          <w:u w:val="none"/>
        </w:rPr>
        <w:t>· 唯一偏差：cadrille 文本 IR（2.56 vs 1.4），经 30 秒超时消融确认非超时所致。</w:t>
      </w:r>
    </w:p>
    <w:sectPr w:rsidR="00FC693F" w:rsidRPr="0006063C" w:rsidSect="00034616">
      <w:pgSz w:w="15840" w:h="12240" w:orient="landscape"/>
      <w:pgMar w:top="907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