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000000"/>
          <w:sz w:val="46"/>
        </w:rPr>
        <w:t>CONTROL-CENTRIC GRC TOOL</w:t>
      </w:r>
    </w:p>
    <w:p>
      <w:pPr>
        <w:spacing w:after="320"/>
      </w:pPr>
      <w:r>
        <w:rPr>
          <w:rFonts w:ascii="Calibri" w:hAnsi="Calibri"/>
          <w:color w:val="373737"/>
          <w:sz w:val="28"/>
        </w:rPr>
        <w:t>Implementation Plan for an AI-Native Governance, Risk, and Compliance Platform</w:t>
      </w:r>
    </w:p>
    <w:tbl>
      <w:tblGrid>
        <w:gridCol w:w="1900"/>
        <w:gridCol w:w="7460"/>
      </w:tblGrid>
      <w:tblPr>
        <w:tblStyle w:val="TableGrid"/>
        <w:tblW w:type="dxa" w:w="9360"/>
        <w:tblLayout w:type="fixed"/>
        <w:tblLook w:firstColumn="1" w:firstRow="1" w:lastColumn="0" w:lastRow="0" w:noHBand="0" w:noVBand="1" w:val="04A0"/>
        <w:jc w:val="center"/>
        <w:tblInd w:w="120" w:type="dxa"/>
      </w:tblPr>
      <w:tr>
        <w:tc>
          <w:tcPr>
            <w:tcW w:type="dxa" w:w="1900"/>
            <w:vAlign w:val="center"/>
            <w:tcMar>
              <w:top w:w="80" w:type="dxa"/>
              <w:bottom w:w="80" w:type="dxa"/>
              <w:start w:w="120" w:type="dxa"/>
              <w:end w:w="120" w:type="dxa"/>
            </w:tcMar>
            <w:shd w:fill="FFFFFF"/>
          </w:tcPr>
          <w:p>
            <w:pPr>
              <w:spacing w:after="0"/>
            </w:pPr>
            <w:r>
              <w:rPr>
                <w:rFonts w:ascii="Calibri" w:hAnsi="Calibri"/>
                <w:b/>
                <w:color w:val="141414"/>
                <w:sz w:val="19"/>
              </w:rPr>
              <w:t>Field</w:t>
            </w:r>
          </w:p>
        </w:tc>
        <w:tc>
          <w:tcPr>
            <w:tcW w:type="dxa" w:w="7460"/>
            <w:vAlign w:val="center"/>
            <w:tcMar>
              <w:top w:w="80" w:type="dxa"/>
              <w:bottom w:w="80" w:type="dxa"/>
              <w:start w:w="120" w:type="dxa"/>
              <w:end w:w="120" w:type="dxa"/>
            </w:tcMar>
            <w:shd w:fill="FFFFFF"/>
          </w:tcPr>
          <w:p>
            <w:pPr>
              <w:spacing w:after="0"/>
            </w:pPr>
            <w:r>
              <w:rPr>
                <w:rFonts w:ascii="Calibri" w:hAnsi="Calibri"/>
                <w:b/>
                <w:color w:val="141414"/>
                <w:sz w:val="19"/>
              </w:rPr>
              <w:t>Decision</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Working name</w:t>
            </w:r>
          </w:p>
        </w:tc>
        <w:tc>
          <w:tcPr>
            <w:tcW w:type="dxa" w:w="7460"/>
            <w:vAlign w:val="center"/>
            <w:tcMar>
              <w:top w:w="80" w:type="dxa"/>
              <w:bottom w:w="80" w:type="dxa"/>
              <w:start w:w="120" w:type="dxa"/>
              <w:end w:w="120" w:type="dxa"/>
            </w:tcMar>
          </w:tcPr>
          <w:p>
            <w:pPr>
              <w:spacing w:after="0"/>
            </w:pPr>
            <w:r>
              <w:rPr>
                <w:rFonts w:ascii="Calibri" w:hAnsi="Calibri"/>
                <w:color w:val="141414"/>
                <w:sz w:val="19"/>
              </w:rPr>
              <w:t>Project Ollie</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Document purpose</w:t>
            </w:r>
          </w:p>
        </w:tc>
        <w:tc>
          <w:tcPr>
            <w:tcW w:type="dxa" w:w="7460"/>
            <w:vAlign w:val="center"/>
            <w:tcMar>
              <w:top w:w="80" w:type="dxa"/>
              <w:bottom w:w="80" w:type="dxa"/>
              <w:start w:w="120" w:type="dxa"/>
              <w:end w:w="120" w:type="dxa"/>
            </w:tcMar>
          </w:tcPr>
          <w:p>
            <w:pPr>
              <w:spacing w:after="0"/>
            </w:pPr>
            <w:r>
              <w:rPr>
                <w:rFonts w:ascii="Calibri" w:hAnsi="Calibri"/>
                <w:color w:val="141414"/>
                <w:sz w:val="19"/>
              </w:rPr>
              <w:t>A consolidated, non-repetitive implementation plan suitable for engineering kickoff and cross-functional review</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Primary design principle</w:t>
            </w:r>
          </w:p>
        </w:tc>
        <w:tc>
          <w:tcPr>
            <w:tcW w:type="dxa" w:w="7460"/>
            <w:vAlign w:val="center"/>
            <w:tcMar>
              <w:top w:w="80" w:type="dxa"/>
              <w:bottom w:w="80" w:type="dxa"/>
              <w:start w:w="120" w:type="dxa"/>
              <w:end w:w="120" w:type="dxa"/>
            </w:tcMar>
          </w:tcPr>
          <w:p>
            <w:pPr>
              <w:spacing w:after="0"/>
            </w:pPr>
            <w:r>
              <w:rPr>
                <w:rFonts w:ascii="Calibri" w:hAnsi="Calibri"/>
                <w:color w:val="141414"/>
                <w:sz w:val="19"/>
              </w:rPr>
              <w:t>Controls are the system of record; frameworks, assets, vendors, policies, evidence, risks, AI decisions, and remediation workflows all connect back to controls</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Initial deployment assumption</w:t>
            </w:r>
          </w:p>
        </w:tc>
        <w:tc>
          <w:tcPr>
            <w:tcW w:type="dxa" w:w="7460"/>
            <w:vAlign w:val="center"/>
            <w:tcMar>
              <w:top w:w="80" w:type="dxa"/>
              <w:bottom w:w="80" w:type="dxa"/>
              <w:start w:w="120" w:type="dxa"/>
              <w:end w:w="120" w:type="dxa"/>
            </w:tcMar>
          </w:tcPr>
          <w:p>
            <w:pPr>
              <w:spacing w:after="0"/>
            </w:pPr>
            <w:r>
              <w:rPr>
                <w:rFonts w:ascii="Calibri" w:hAnsi="Calibri"/>
                <w:color w:val="141414"/>
                <w:sz w:val="19"/>
              </w:rPr>
              <w:t>AWS-hosted product experience with Amazon Neptune for graph persistence, S3 Object Lock for immutable evidence, and containerized AI orchestration</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Planning exclusions</w:t>
            </w:r>
          </w:p>
        </w:tc>
        <w:tc>
          <w:tcPr>
            <w:tcW w:type="dxa" w:w="7460"/>
            <w:vAlign w:val="center"/>
            <w:tcMar>
              <w:top w:w="80" w:type="dxa"/>
              <w:bottom w:w="80" w:type="dxa"/>
              <w:start w:w="120" w:type="dxa"/>
              <w:end w:w="120" w:type="dxa"/>
            </w:tcMar>
          </w:tcPr>
          <w:p>
            <w:pPr>
              <w:spacing w:after="0"/>
            </w:pPr>
            <w:r>
              <w:rPr>
                <w:rFonts w:ascii="Calibri" w:hAnsi="Calibri"/>
                <w:color w:val="141414"/>
                <w:sz w:val="19"/>
              </w:rPr>
              <w:t>No dates or budget assumptions are included</w:t>
            </w:r>
          </w:p>
        </w:tc>
      </w:tr>
    </w:tbl>
    <w:p>
      <w:pPr>
        <w:spacing w:after="40"/>
      </w:pPr>
    </w:p>
    <w:tbl>
      <w:tblGrid>
        <w:gridCol w:w="9360"/>
      </w:tblGrid>
      <w:tblPr>
        <w:tblStyle w:val="TableGrid"/>
        <w:tblW w:type="dxa" w:w="9360"/>
        <w:jc w:val="center"/>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4F6F9"/>
          </w:tcPr>
          <w:p>
            <w:pPr>
              <w:spacing w:after="60"/>
            </w:pPr>
            <w:r>
              <w:rPr>
                <w:rFonts w:ascii="Calibri" w:hAnsi="Calibri"/>
                <w:b/>
                <w:color w:val="1F4D78"/>
                <w:sz w:val="22"/>
              </w:rPr>
              <w:t>Core Thesis</w:t>
            </w:r>
          </w:p>
          <w:p>
            <w:pPr>
              <w:spacing w:after="0"/>
            </w:pPr>
            <w:r>
              <w:rPr>
                <w:rFonts w:ascii="Calibri" w:hAnsi="Calibri"/>
                <w:color w:val="141414"/>
                <w:sz w:val="22"/>
              </w:rPr>
              <w:t>Traditional GRC platforms often begin with audit checklists, documents, or isolated risk registers. This product should begin with the control graph. Every material answer the tool gives should be explainable by traversing from a control to the assets, evidence, framework requirements, owners, risk scenarios, vendors, and AI decisions connected to it.</w:t>
            </w:r>
          </w:p>
        </w:tc>
      </w:tr>
    </w:tbl>
    <w:p>
      <w:r>
        <w:br w:type="page"/>
      </w:r>
    </w:p>
    <w:p>
      <w:pPr>
        <w:pStyle w:val="Heading1"/>
        <w:keepNext/>
        <w:spacing w:before="320" w:after="160"/>
      </w:pPr>
      <w:r>
        <w:rPr>
          <w:rFonts w:ascii="Calibri" w:hAnsi="Calibri"/>
          <w:b/>
          <w:color w:val="2E74B5"/>
          <w:sz w:val="32"/>
        </w:rPr>
        <w:t>1. Product Intent and Market Baseline</w:t>
      </w:r>
    </w:p>
    <w:p>
      <w:pPr>
        <w:spacing w:after="120" w:line="264" w:lineRule="auto"/>
      </w:pPr>
      <w:r>
        <w:rPr>
          <w:rFonts w:ascii="Calibri" w:hAnsi="Calibri"/>
          <w:color w:val="141414"/>
          <w:sz w:val="22"/>
        </w:rPr>
        <w:t>The platform should compete in the same expectation space as modern compliance automation, integrated risk management, and third-party risk products, while differentiating through a control-centric graph model and auditable AI workflows. Current market signals show that buyers expect centralized controls and ownership, continuous monitoring, reusable evidence, framework cross-mapping, risk dashboards, remediation workflows, and reporting for executives and auditors.</w:t>
      </w:r>
    </w:p>
    <w:tbl>
      <w:tblGrid>
        <w:gridCol w:w="2500"/>
        <w:gridCol w:w="6860"/>
      </w:tblGrid>
      <w:tblPr>
        <w:tblStyle w:val="TableGrid"/>
        <w:tblW w:type="dxa" w:w="9360"/>
        <w:tblLayout w:type="fixed"/>
        <w:tblLook w:firstColumn="1" w:firstRow="1" w:lastColumn="0" w:lastRow="0" w:noHBand="0" w:noVBand="1" w:val="04A0"/>
        <w:jc w:val="center"/>
        <w:tblInd w:w="120" w:type="dxa"/>
      </w:tblPr>
      <w:tr>
        <w:tc>
          <w:tcPr>
            <w:tcW w:type="dxa" w:w="2500"/>
            <w:vAlign w:val="center"/>
            <w:tcMar>
              <w:top w:w="80" w:type="dxa"/>
              <w:bottom w:w="80" w:type="dxa"/>
              <w:start w:w="120" w:type="dxa"/>
              <w:end w:w="120" w:type="dxa"/>
            </w:tcMar>
            <w:shd w:fill="F2F4F7"/>
          </w:tcPr>
          <w:p>
            <w:pPr>
              <w:spacing w:after="0"/>
            </w:pPr>
            <w:r>
              <w:rPr>
                <w:rFonts w:ascii="Calibri" w:hAnsi="Calibri"/>
                <w:b/>
                <w:color w:val="141414"/>
                <w:sz w:val="19"/>
              </w:rPr>
              <w:t>Market expectation</w:t>
            </w:r>
          </w:p>
        </w:tc>
        <w:tc>
          <w:tcPr>
            <w:tcW w:type="dxa" w:w="6860"/>
            <w:vAlign w:val="center"/>
            <w:tcMar>
              <w:top w:w="80" w:type="dxa"/>
              <w:bottom w:w="80" w:type="dxa"/>
              <w:start w:w="120" w:type="dxa"/>
              <w:end w:w="120" w:type="dxa"/>
            </w:tcMar>
            <w:shd w:fill="F2F4F7"/>
          </w:tcPr>
          <w:p>
            <w:pPr>
              <w:spacing w:after="0"/>
            </w:pPr>
            <w:r>
              <w:rPr>
                <w:rFonts w:ascii="Calibri" w:hAnsi="Calibri"/>
                <w:b/>
                <w:color w:val="141414"/>
                <w:sz w:val="19"/>
              </w:rPr>
              <w:t>Implication for this product</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Controls, ownership, and evidence in one place</w:t>
            </w:r>
          </w:p>
        </w:tc>
        <w:tc>
          <w:tcPr>
            <w:tcW w:type="dxa" w:w="6860"/>
            <w:vAlign w:val="center"/>
            <w:tcMar>
              <w:top w:w="80" w:type="dxa"/>
              <w:bottom w:w="80" w:type="dxa"/>
              <w:start w:w="120" w:type="dxa"/>
              <w:end w:w="120" w:type="dxa"/>
            </w:tcMar>
          </w:tcPr>
          <w:p>
            <w:pPr>
              <w:spacing w:after="0"/>
            </w:pPr>
            <w:r>
              <w:rPr>
                <w:rFonts w:ascii="Calibri" w:hAnsi="Calibri"/>
                <w:color w:val="141414"/>
                <w:sz w:val="19"/>
              </w:rPr>
              <w:t>The Control Center must be the first-class workspace. Evidence reuse, owner accountability, and framework mapping should not live in separate modules.</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Automated continuous control monitoring</w:t>
            </w:r>
          </w:p>
        </w:tc>
        <w:tc>
          <w:tcPr>
            <w:tcW w:type="dxa" w:w="6860"/>
            <w:vAlign w:val="center"/>
            <w:tcMar>
              <w:top w:w="80" w:type="dxa"/>
              <w:bottom w:w="80" w:type="dxa"/>
              <w:start w:w="120" w:type="dxa"/>
              <w:end w:w="120" w:type="dxa"/>
            </w:tcMar>
          </w:tcPr>
          <w:p>
            <w:pPr>
              <w:spacing w:after="0"/>
            </w:pPr>
            <w:r>
              <w:rPr>
                <w:rFonts w:ascii="Calibri" w:hAnsi="Calibri"/>
                <w:color w:val="141414"/>
                <w:sz w:val="19"/>
              </w:rPr>
              <w:t>The ingestion layer must run as a continuous loop, not a quarterly audit-prep import.</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Integrated risk and control assurance</w:t>
            </w:r>
          </w:p>
        </w:tc>
        <w:tc>
          <w:tcPr>
            <w:tcW w:type="dxa" w:w="6860"/>
            <w:vAlign w:val="center"/>
            <w:tcMar>
              <w:top w:w="80" w:type="dxa"/>
              <w:bottom w:w="80" w:type="dxa"/>
              <w:start w:w="120" w:type="dxa"/>
              <w:end w:w="120" w:type="dxa"/>
            </w:tcMar>
          </w:tcPr>
          <w:p>
            <w:pPr>
              <w:spacing w:after="0"/>
            </w:pPr>
            <w:r>
              <w:rPr>
                <w:rFonts w:ascii="Calibri" w:hAnsi="Calibri"/>
                <w:color w:val="141414"/>
                <w:sz w:val="19"/>
              </w:rPr>
              <w:t>Risk, vulnerability, audit findings, regulatory obligations, controls, and assets need a shared data foundation.</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Unified governance, risk, and operational view</w:t>
            </w:r>
          </w:p>
        </w:tc>
        <w:tc>
          <w:tcPr>
            <w:tcW w:type="dxa" w:w="6860"/>
            <w:vAlign w:val="center"/>
            <w:tcMar>
              <w:top w:w="80" w:type="dxa"/>
              <w:bottom w:w="80" w:type="dxa"/>
              <w:start w:w="120" w:type="dxa"/>
              <w:end w:w="120" w:type="dxa"/>
            </w:tcMar>
          </w:tcPr>
          <w:p>
            <w:pPr>
              <w:spacing w:after="0"/>
            </w:pPr>
            <w:r>
              <w:rPr>
                <w:rFonts w:ascii="Calibri" w:hAnsi="Calibri"/>
                <w:color w:val="141414"/>
                <w:sz w:val="19"/>
              </w:rPr>
              <w:t>Executive reporting must roll up control health, compliance readiness, operational exposure, and FAIR risk metrics.</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One control library mapped to many frameworks</w:t>
            </w:r>
          </w:p>
        </w:tc>
        <w:tc>
          <w:tcPr>
            <w:tcW w:type="dxa" w:w="6860"/>
            <w:vAlign w:val="center"/>
            <w:tcMar>
              <w:top w:w="80" w:type="dxa"/>
              <w:bottom w:w="80" w:type="dxa"/>
              <w:start w:w="120" w:type="dxa"/>
              <w:end w:w="120" w:type="dxa"/>
            </w:tcMar>
          </w:tcPr>
          <w:p>
            <w:pPr>
              <w:spacing w:after="0"/>
            </w:pPr>
            <w:r>
              <w:rPr>
                <w:rFonts w:ascii="Calibri" w:hAnsi="Calibri"/>
                <w:color w:val="141414"/>
                <w:sz w:val="19"/>
              </w:rPr>
              <w:t>Framework import and cross-mapping should be part of the core data model, with human approval for AI-proposed mappings.</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Third-party risk intelligence and ongoing monitoring</w:t>
            </w:r>
          </w:p>
        </w:tc>
        <w:tc>
          <w:tcPr>
            <w:tcW w:type="dxa" w:w="6860"/>
            <w:vAlign w:val="center"/>
            <w:tcMar>
              <w:top w:w="80" w:type="dxa"/>
              <w:bottom w:w="80" w:type="dxa"/>
              <w:start w:w="120" w:type="dxa"/>
              <w:end w:w="120" w:type="dxa"/>
            </w:tcMar>
          </w:tcPr>
          <w:p>
            <w:pPr>
              <w:spacing w:after="0"/>
            </w:pPr>
            <w:r>
              <w:rPr>
                <w:rFonts w:ascii="Calibri" w:hAnsi="Calibri"/>
                <w:color w:val="141414"/>
                <w:sz w:val="19"/>
              </w:rPr>
              <w:t>Vendor nodes should connect to controls, assets, data, external assessments, and continuous threat intelligence.</w:t>
            </w:r>
          </w:p>
        </w:tc>
      </w:tr>
    </w:tbl>
    <w:p>
      <w:pPr>
        <w:spacing w:after="40"/>
      </w:pPr>
    </w:p>
    <w:p>
      <w:pPr>
        <w:spacing w:after="120" w:line="264" w:lineRule="auto"/>
      </w:pPr>
      <w:r>
        <w:rPr>
          <w:rFonts w:ascii="Calibri" w:hAnsi="Calibri"/>
          <w:color w:val="141414"/>
          <w:sz w:val="22"/>
        </w:rPr>
        <w:t>Design target: build a serious enterprise tool, not a dashboard demo. The product must provide fast time-to-value, but its underlying architecture must also withstand auditor review, legal scrutiny, AI governance review, data-isolation testing, and operational failure modes.</w:t>
      </w:r>
    </w:p>
    <w:p>
      <w:pPr>
        <w:pStyle w:val="Heading1"/>
        <w:keepNext/>
        <w:spacing w:before="320" w:after="160"/>
      </w:pPr>
      <w:r>
        <w:rPr>
          <w:rFonts w:ascii="Calibri" w:hAnsi="Calibri"/>
          <w:b/>
          <w:color w:val="2E74B5"/>
          <w:sz w:val="32"/>
        </w:rPr>
        <w:t>2. Business Charter and Scope</w:t>
      </w:r>
    </w:p>
    <w:p>
      <w:pPr>
        <w:pStyle w:val="Heading2"/>
        <w:keepNext/>
        <w:spacing w:before="240" w:after="120"/>
      </w:pPr>
      <w:r>
        <w:rPr>
          <w:rFonts w:ascii="Calibri" w:hAnsi="Calibri"/>
          <w:b/>
          <w:color w:val="2E74B5"/>
          <w:sz w:val="26"/>
        </w:rPr>
        <w:t>2.1 Product Mission</w:t>
      </w:r>
    </w:p>
    <w:p>
      <w:pPr>
        <w:spacing w:after="120" w:line="264" w:lineRule="auto"/>
      </w:pPr>
      <w:r>
        <w:rPr>
          <w:rFonts w:ascii="Calibri" w:hAnsi="Calibri"/>
          <w:color w:val="141414"/>
          <w:sz w:val="22"/>
        </w:rPr>
        <w:t>Create an AI-native, control-centric GRC platform that continuously measures control health, maps controls to frameworks and enterprise entities, quantifies control-driven risk, and turns evidence collection, audit response, and remediation into governed workflows.</w:t>
      </w:r>
    </w:p>
    <w:p>
      <w:pPr>
        <w:pStyle w:val="Heading2"/>
        <w:keepNext/>
        <w:spacing w:before="240" w:after="120"/>
      </w:pPr>
      <w:r>
        <w:rPr>
          <w:rFonts w:ascii="Calibri" w:hAnsi="Calibri"/>
          <w:b/>
          <w:color w:val="2E74B5"/>
          <w:sz w:val="26"/>
        </w:rPr>
        <w:t>2.2 Success Outcomes</w:t>
      </w:r>
    </w:p>
    <w:p>
      <w:pPr>
        <w:spacing w:after="80" w:line="280" w:lineRule="auto"/>
        <w:ind w:left="360" w:hanging="216"/>
      </w:pPr>
      <w:r>
        <w:rPr>
          <w:rFonts w:ascii="Calibri" w:hAnsi="Calibri"/>
          <w:color w:val="141414"/>
          <w:sz w:val="22"/>
        </w:rPr>
        <w:t xml:space="preserve">- </w:t>
      </w:r>
      <w:r>
        <w:rPr>
          <w:rFonts w:ascii="Calibri" w:hAnsi="Calibri"/>
          <w:color w:val="141414"/>
          <w:sz w:val="22"/>
        </w:rPr>
        <w:t>Reduce manual audit preparation by using automated evidence collection, evidence reuse, and control-to-framework cross-mapping.</w:t>
      </w:r>
    </w:p>
    <w:p>
      <w:pPr>
        <w:spacing w:after="80" w:line="280" w:lineRule="auto"/>
        <w:ind w:left="360" w:hanging="216"/>
      </w:pPr>
      <w:r>
        <w:rPr>
          <w:rFonts w:ascii="Calibri" w:hAnsi="Calibri"/>
          <w:color w:val="141414"/>
          <w:sz w:val="22"/>
        </w:rPr>
        <w:t xml:space="preserve">- </w:t>
      </w:r>
      <w:r>
        <w:rPr>
          <w:rFonts w:ascii="Calibri" w:hAnsi="Calibri"/>
          <w:color w:val="141414"/>
          <w:sz w:val="22"/>
        </w:rPr>
        <w:t>Give control owners a clear, action-oriented workflow for evidence requests, degraded controls, and remediation tasks.</w:t>
      </w:r>
    </w:p>
    <w:p>
      <w:pPr>
        <w:spacing w:after="80" w:line="280" w:lineRule="auto"/>
        <w:ind w:left="360" w:hanging="216"/>
      </w:pPr>
      <w:r>
        <w:rPr>
          <w:rFonts w:ascii="Calibri" w:hAnsi="Calibri"/>
          <w:color w:val="141414"/>
          <w:sz w:val="22"/>
        </w:rPr>
        <w:t xml:space="preserve">- </w:t>
      </w:r>
      <w:r>
        <w:rPr>
          <w:rFonts w:ascii="Calibri" w:hAnsi="Calibri"/>
          <w:color w:val="141414"/>
          <w:sz w:val="22"/>
        </w:rPr>
        <w:t>Give GRC analysts one place to understand whether a control is implemented, where it operates, what evidence proves it, which framework requirements it satisfies, and what risk exposure it affects.</w:t>
      </w:r>
    </w:p>
    <w:p>
      <w:pPr>
        <w:spacing w:after="80" w:line="280" w:lineRule="auto"/>
        <w:ind w:left="360" w:hanging="216"/>
      </w:pPr>
      <w:r>
        <w:rPr>
          <w:rFonts w:ascii="Calibri" w:hAnsi="Calibri"/>
          <w:color w:val="141414"/>
          <w:sz w:val="22"/>
        </w:rPr>
        <w:t xml:space="preserve">- </w:t>
      </w:r>
      <w:r>
        <w:rPr>
          <w:rFonts w:ascii="Calibri" w:hAnsi="Calibri"/>
          <w:color w:val="141414"/>
          <w:sz w:val="22"/>
        </w:rPr>
        <w:t>Give executives quantitative risk views, including FAIR-based loss ranges, top risk scenarios, and material control failures.</w:t>
      </w:r>
    </w:p>
    <w:p>
      <w:pPr>
        <w:spacing w:after="80" w:line="280" w:lineRule="auto"/>
        <w:ind w:left="360" w:hanging="216"/>
      </w:pPr>
      <w:r>
        <w:rPr>
          <w:rFonts w:ascii="Calibri" w:hAnsi="Calibri"/>
          <w:color w:val="141414"/>
          <w:sz w:val="22"/>
        </w:rPr>
        <w:t xml:space="preserve">- </w:t>
      </w:r>
      <w:r>
        <w:rPr>
          <w:rFonts w:ascii="Calibri" w:hAnsi="Calibri"/>
          <w:color w:val="141414"/>
          <w:sz w:val="22"/>
        </w:rPr>
        <w:t>Give auditors immutable evidence, AI decision lineage, and human approval records tied directly to the relevant controls.</w:t>
      </w:r>
    </w:p>
    <w:p>
      <w:pPr>
        <w:pStyle w:val="Heading2"/>
        <w:keepNext/>
        <w:spacing w:before="240" w:after="120"/>
      </w:pPr>
      <w:r>
        <w:rPr>
          <w:rFonts w:ascii="Calibri" w:hAnsi="Calibri"/>
          <w:b/>
          <w:color w:val="2E74B5"/>
          <w:sz w:val="26"/>
        </w:rPr>
        <w:t>2.3 Initial Scope Boundary</w:t>
      </w:r>
    </w:p>
    <w:tbl>
      <w:tblGrid>
        <w:gridCol w:w="1600"/>
        <w:gridCol w:w="3980"/>
        <w:gridCol w:w="3780"/>
      </w:tblGrid>
      <w:tblPr>
        <w:tblStyle w:val="TableGrid"/>
        <w:tblW w:type="dxa" w:w="9360"/>
        <w:tblLayout w:type="fixed"/>
        <w:tblLook w:firstColumn="1" w:firstRow="1" w:lastColumn="0" w:lastRow="0" w:noHBand="0" w:noVBand="1" w:val="04A0"/>
        <w:jc w:val="center"/>
        <w:tblInd w:w="120" w:type="dxa"/>
      </w:tblPr>
      <w:tr>
        <w:tc>
          <w:tcPr>
            <w:tcW w:type="dxa" w:w="1600"/>
            <w:vAlign w:val="center"/>
            <w:tcMar>
              <w:top w:w="80" w:type="dxa"/>
              <w:bottom w:w="80" w:type="dxa"/>
              <w:start w:w="120" w:type="dxa"/>
              <w:end w:w="120" w:type="dxa"/>
            </w:tcMar>
            <w:shd w:fill="F2F4F7"/>
          </w:tcPr>
          <w:p>
            <w:pPr>
              <w:spacing w:after="0"/>
            </w:pPr>
            <w:r>
              <w:rPr>
                <w:rFonts w:ascii="Calibri" w:hAnsi="Calibri"/>
                <w:b/>
                <w:color w:val="141414"/>
                <w:sz w:val="19"/>
              </w:rPr>
              <w:t>Area</w:t>
            </w:r>
          </w:p>
        </w:tc>
        <w:tc>
          <w:tcPr>
            <w:tcW w:type="dxa" w:w="3980"/>
            <w:vAlign w:val="center"/>
            <w:tcMar>
              <w:top w:w="80" w:type="dxa"/>
              <w:bottom w:w="80" w:type="dxa"/>
              <w:start w:w="120" w:type="dxa"/>
              <w:end w:w="120" w:type="dxa"/>
            </w:tcMar>
            <w:shd w:fill="F2F4F7"/>
          </w:tcPr>
          <w:p>
            <w:pPr>
              <w:spacing w:after="0"/>
            </w:pPr>
            <w:r>
              <w:rPr>
                <w:rFonts w:ascii="Calibri" w:hAnsi="Calibri"/>
                <w:b/>
                <w:color w:val="141414"/>
                <w:sz w:val="19"/>
              </w:rPr>
              <w:t>In Scope for MVP</w:t>
            </w:r>
          </w:p>
        </w:tc>
        <w:tc>
          <w:tcPr>
            <w:tcW w:type="dxa" w:w="3780"/>
            <w:vAlign w:val="center"/>
            <w:tcMar>
              <w:top w:w="80" w:type="dxa"/>
              <w:bottom w:w="80" w:type="dxa"/>
              <w:start w:w="120" w:type="dxa"/>
              <w:end w:w="120" w:type="dxa"/>
            </w:tcMar>
            <w:shd w:fill="F2F4F7"/>
          </w:tcPr>
          <w:p>
            <w:pPr>
              <w:spacing w:after="0"/>
            </w:pPr>
            <w:r>
              <w:rPr>
                <w:rFonts w:ascii="Calibri" w:hAnsi="Calibri"/>
                <w:b/>
                <w:color w:val="141414"/>
                <w:sz w:val="19"/>
              </w:rPr>
              <w:t>Deferred</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Control Center</w:t>
            </w:r>
          </w:p>
        </w:tc>
        <w:tc>
          <w:tcPr>
            <w:tcW w:type="dxa" w:w="3980"/>
            <w:vAlign w:val="center"/>
            <w:tcMar>
              <w:top w:w="80" w:type="dxa"/>
              <w:bottom w:w="80" w:type="dxa"/>
              <w:start w:w="120" w:type="dxa"/>
              <w:end w:w="120" w:type="dxa"/>
            </w:tcMar>
          </w:tcPr>
          <w:p>
            <w:pPr>
              <w:spacing w:after="0"/>
            </w:pPr>
            <w:r>
              <w:rPr>
                <w:rFonts w:ascii="Calibri" w:hAnsi="Calibri"/>
                <w:color w:val="141414"/>
                <w:sz w:val="19"/>
              </w:rPr>
              <w:t>Manual control creation, owner assignment, implementation status, KPIs/KRIs, control health history</w:t>
            </w:r>
          </w:p>
        </w:tc>
        <w:tc>
          <w:tcPr>
            <w:tcW w:type="dxa" w:w="3780"/>
            <w:vAlign w:val="center"/>
            <w:tcMar>
              <w:top w:w="80" w:type="dxa"/>
              <w:bottom w:w="80" w:type="dxa"/>
              <w:start w:w="120" w:type="dxa"/>
              <w:end w:w="120" w:type="dxa"/>
            </w:tcMar>
          </w:tcPr>
          <w:p>
            <w:pPr>
              <w:spacing w:after="0"/>
            </w:pPr>
            <w:r>
              <w:rPr>
                <w:rFonts w:ascii="Calibri" w:hAnsi="Calibri"/>
                <w:color w:val="141414"/>
                <w:sz w:val="19"/>
              </w:rPr>
              <w:t>Complex control inheritance and advanced enterprise taxonomy tooling</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Frameworks</w:t>
            </w:r>
          </w:p>
        </w:tc>
        <w:tc>
          <w:tcPr>
            <w:tcW w:type="dxa" w:w="3980"/>
            <w:vAlign w:val="center"/>
            <w:tcMar>
              <w:top w:w="80" w:type="dxa"/>
              <w:bottom w:w="80" w:type="dxa"/>
              <w:start w:w="120" w:type="dxa"/>
              <w:end w:w="120" w:type="dxa"/>
            </w:tcMar>
          </w:tcPr>
          <w:p>
            <w:pPr>
              <w:spacing w:after="0"/>
            </w:pPr>
            <w:r>
              <w:rPr>
                <w:rFonts w:ascii="Calibri" w:hAnsi="Calibri"/>
                <w:color w:val="141414"/>
                <w:sz w:val="19"/>
              </w:rPr>
              <w:t>One primary framework, recommended NIST CSF 2.0, plus internal control library</w:t>
            </w:r>
          </w:p>
        </w:tc>
        <w:tc>
          <w:tcPr>
            <w:tcW w:type="dxa" w:w="3780"/>
            <w:vAlign w:val="center"/>
            <w:tcMar>
              <w:top w:w="80" w:type="dxa"/>
              <w:bottom w:w="80" w:type="dxa"/>
              <w:start w:w="120" w:type="dxa"/>
              <w:end w:w="120" w:type="dxa"/>
            </w:tcMar>
          </w:tcPr>
          <w:p>
            <w:pPr>
              <w:spacing w:after="0"/>
            </w:pPr>
            <w:r>
              <w:rPr>
                <w:rFonts w:ascii="Calibri" w:hAnsi="Calibri"/>
                <w:color w:val="141414"/>
                <w:sz w:val="19"/>
              </w:rPr>
              <w:t>Full multi-framework import library on day one</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Assets</w:t>
            </w:r>
          </w:p>
        </w:tc>
        <w:tc>
          <w:tcPr>
            <w:tcW w:type="dxa" w:w="3980"/>
            <w:vAlign w:val="center"/>
            <w:tcMar>
              <w:top w:w="80" w:type="dxa"/>
              <w:bottom w:w="80" w:type="dxa"/>
              <w:start w:w="120" w:type="dxa"/>
              <w:end w:w="120" w:type="dxa"/>
            </w:tcMar>
          </w:tcPr>
          <w:p>
            <w:pPr>
              <w:spacing w:after="0"/>
            </w:pPr>
            <w:r>
              <w:rPr>
                <w:rFonts w:ascii="Calibri" w:hAnsi="Calibri"/>
                <w:color w:val="141414"/>
                <w:sz w:val="19"/>
              </w:rPr>
              <w:t>AWS cloud resources, central IAM assets, critical applications, and Tier 1 vendors</w:t>
            </w:r>
          </w:p>
        </w:tc>
        <w:tc>
          <w:tcPr>
            <w:tcW w:type="dxa" w:w="3780"/>
            <w:vAlign w:val="center"/>
            <w:tcMar>
              <w:top w:w="80" w:type="dxa"/>
              <w:bottom w:w="80" w:type="dxa"/>
              <w:start w:w="120" w:type="dxa"/>
              <w:end w:w="120" w:type="dxa"/>
            </w:tcMar>
          </w:tcPr>
          <w:p>
            <w:pPr>
              <w:spacing w:after="0"/>
            </w:pPr>
            <w:r>
              <w:rPr>
                <w:rFonts w:ascii="Calibri" w:hAnsi="Calibri"/>
                <w:color w:val="141414"/>
                <w:sz w:val="19"/>
              </w:rPr>
              <w:t>On-prem legacy systems and long-tail asset classes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Evidence</w:t>
            </w:r>
          </w:p>
        </w:tc>
        <w:tc>
          <w:tcPr>
            <w:tcW w:type="dxa" w:w="3980"/>
            <w:vAlign w:val="center"/>
            <w:tcMar>
              <w:top w:w="80" w:type="dxa"/>
              <w:bottom w:w="80" w:type="dxa"/>
              <w:start w:w="120" w:type="dxa"/>
              <w:end w:w="120" w:type="dxa"/>
            </w:tcMar>
          </w:tcPr>
          <w:p>
            <w:pPr>
              <w:spacing w:after="0"/>
            </w:pPr>
            <w:r>
              <w:rPr>
                <w:rFonts w:ascii="Calibri" w:hAnsi="Calibri"/>
                <w:color w:val="141414"/>
                <w:sz w:val="19"/>
              </w:rPr>
              <w:t>API evidence from first integrations plus manual upload and immutable storage</w:t>
            </w:r>
          </w:p>
        </w:tc>
        <w:tc>
          <w:tcPr>
            <w:tcW w:type="dxa" w:w="3780"/>
            <w:vAlign w:val="center"/>
            <w:tcMar>
              <w:top w:w="80" w:type="dxa"/>
              <w:bottom w:w="80" w:type="dxa"/>
              <w:start w:w="120" w:type="dxa"/>
              <w:end w:w="120" w:type="dxa"/>
            </w:tcMar>
          </w:tcPr>
          <w:p>
            <w:pPr>
              <w:spacing w:after="0"/>
            </w:pPr>
            <w:r>
              <w:rPr>
                <w:rFonts w:ascii="Calibri" w:hAnsi="Calibri"/>
                <w:color w:val="141414"/>
                <w:sz w:val="19"/>
              </w:rPr>
              <w:t>Broad connector marketplace and OCR-heavy evidence normalization</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AI</w:t>
            </w:r>
          </w:p>
        </w:tc>
        <w:tc>
          <w:tcPr>
            <w:tcW w:type="dxa" w:w="3980"/>
            <w:vAlign w:val="center"/>
            <w:tcMar>
              <w:top w:w="80" w:type="dxa"/>
              <w:bottom w:w="80" w:type="dxa"/>
              <w:start w:w="120" w:type="dxa"/>
              <w:end w:w="120" w:type="dxa"/>
            </w:tcMar>
          </w:tcPr>
          <w:p>
            <w:pPr>
              <w:spacing w:after="0"/>
            </w:pPr>
            <w:r>
              <w:rPr>
                <w:rFonts w:ascii="Calibri" w:hAnsi="Calibri"/>
                <w:color w:val="141414"/>
                <w:sz w:val="19"/>
              </w:rPr>
              <w:t>Evidence validation, framework mapping recommendations, KMS read-only query assistant, FAIR narrative assistant</w:t>
            </w:r>
          </w:p>
        </w:tc>
        <w:tc>
          <w:tcPr>
            <w:tcW w:type="dxa" w:w="3780"/>
            <w:vAlign w:val="center"/>
            <w:tcMar>
              <w:top w:w="80" w:type="dxa"/>
              <w:bottom w:w="80" w:type="dxa"/>
              <w:start w:w="120" w:type="dxa"/>
              <w:end w:w="120" w:type="dxa"/>
            </w:tcMar>
          </w:tcPr>
          <w:p>
            <w:pPr>
              <w:spacing w:after="0"/>
            </w:pPr>
            <w:r>
              <w:rPr>
                <w:rFonts w:ascii="Calibri" w:hAnsi="Calibri"/>
                <w:color w:val="141414"/>
                <w:sz w:val="19"/>
              </w:rPr>
              <w:t>Fully autonomous remediation on mission-critical systems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Risk</w:t>
            </w:r>
          </w:p>
        </w:tc>
        <w:tc>
          <w:tcPr>
            <w:tcW w:type="dxa" w:w="3980"/>
            <w:vAlign w:val="center"/>
            <w:tcMar>
              <w:top w:w="80" w:type="dxa"/>
              <w:bottom w:w="80" w:type="dxa"/>
              <w:start w:w="120" w:type="dxa"/>
              <w:end w:w="120" w:type="dxa"/>
            </w:tcMar>
          </w:tcPr>
          <w:p>
            <w:pPr>
              <w:spacing w:after="0"/>
            </w:pPr>
            <w:r>
              <w:rPr>
                <w:rFonts w:ascii="Calibri" w:hAnsi="Calibri"/>
                <w:color w:val="141414"/>
                <w:sz w:val="19"/>
              </w:rPr>
              <w:t>FAIR scenario model, Monte Carlo microservice, percentile outputs, risk appetite alerts</w:t>
            </w:r>
          </w:p>
        </w:tc>
        <w:tc>
          <w:tcPr>
            <w:tcW w:type="dxa" w:w="3780"/>
            <w:vAlign w:val="center"/>
            <w:tcMar>
              <w:top w:w="80" w:type="dxa"/>
              <w:bottom w:w="80" w:type="dxa"/>
              <w:start w:w="120" w:type="dxa"/>
              <w:end w:w="120" w:type="dxa"/>
            </w:tcMar>
          </w:tcPr>
          <w:p>
            <w:pPr>
              <w:spacing w:after="0"/>
            </w:pPr>
            <w:r>
              <w:rPr>
                <w:rFonts w:ascii="Calibri" w:hAnsi="Calibri"/>
                <w:color w:val="141414"/>
                <w:sz w:val="19"/>
              </w:rPr>
              <w:t>Enterprise stress testing and capital planning integrations</w:t>
            </w:r>
          </w:p>
        </w:tc>
      </w:tr>
    </w:tbl>
    <w:p>
      <w:pPr>
        <w:spacing w:after="40"/>
      </w:pPr>
    </w:p>
    <w:p>
      <w:pPr>
        <w:pStyle w:val="Heading2"/>
        <w:keepNext/>
        <w:spacing w:before="240" w:after="120"/>
      </w:pPr>
      <w:r>
        <w:rPr>
          <w:rFonts w:ascii="Calibri" w:hAnsi="Calibri"/>
          <w:b/>
          <w:color w:val="2E74B5"/>
          <w:sz w:val="26"/>
        </w:rPr>
        <w:t>2.4 Non-Goals</w:t>
      </w:r>
    </w:p>
    <w:p>
      <w:pPr>
        <w:spacing w:after="80" w:line="280" w:lineRule="auto"/>
        <w:ind w:left="360" w:hanging="216"/>
      </w:pPr>
      <w:r>
        <w:rPr>
          <w:rFonts w:ascii="Calibri" w:hAnsi="Calibri"/>
          <w:color w:val="141414"/>
          <w:sz w:val="22"/>
        </w:rPr>
        <w:t xml:space="preserve">- </w:t>
      </w:r>
      <w:r>
        <w:rPr>
          <w:rFonts w:ascii="Calibri" w:hAnsi="Calibri"/>
          <w:color w:val="141414"/>
          <w:sz w:val="22"/>
        </w:rPr>
        <w:t>Do not build a generic document repository. Documents matter only when connected to controls, evidence, policies, audits, vendors, assets, or risks.</w:t>
      </w:r>
    </w:p>
    <w:p>
      <w:pPr>
        <w:spacing w:after="80" w:line="280" w:lineRule="auto"/>
        <w:ind w:left="360" w:hanging="216"/>
      </w:pPr>
      <w:r>
        <w:rPr>
          <w:rFonts w:ascii="Calibri" w:hAnsi="Calibri"/>
          <w:color w:val="141414"/>
          <w:sz w:val="22"/>
        </w:rPr>
        <w:t xml:space="preserve">- </w:t>
      </w:r>
      <w:r>
        <w:rPr>
          <w:rFonts w:ascii="Calibri" w:hAnsi="Calibri"/>
          <w:color w:val="141414"/>
          <w:sz w:val="22"/>
        </w:rPr>
        <w:t>Do not allow AI agents to directly mutate the production graph. All writes must pass through middleware validation and guardrails.</w:t>
      </w:r>
    </w:p>
    <w:p>
      <w:pPr>
        <w:spacing w:after="80" w:line="280" w:lineRule="auto"/>
        <w:ind w:left="360" w:hanging="216"/>
      </w:pPr>
      <w:r>
        <w:rPr>
          <w:rFonts w:ascii="Calibri" w:hAnsi="Calibri"/>
          <w:color w:val="141414"/>
          <w:sz w:val="22"/>
        </w:rPr>
        <w:t xml:space="preserve">- </w:t>
      </w:r>
      <w:r>
        <w:rPr>
          <w:rFonts w:ascii="Calibri" w:hAnsi="Calibri"/>
          <w:color w:val="141414"/>
          <w:sz w:val="22"/>
        </w:rPr>
        <w:t>Do not treat FAIR as a simple high/medium/low score. The risk engine should preserve uncertainty, ranges, and scenario context.</w:t>
      </w:r>
    </w:p>
    <w:p>
      <w:pPr>
        <w:spacing w:after="80" w:line="280" w:lineRule="auto"/>
        <w:ind w:left="360" w:hanging="216"/>
      </w:pPr>
      <w:r>
        <w:rPr>
          <w:rFonts w:ascii="Calibri" w:hAnsi="Calibri"/>
          <w:color w:val="141414"/>
          <w:sz w:val="22"/>
        </w:rPr>
        <w:t xml:space="preserve">- </w:t>
      </w:r>
      <w:r>
        <w:rPr>
          <w:rFonts w:ascii="Calibri" w:hAnsi="Calibri"/>
          <w:color w:val="141414"/>
          <w:sz w:val="22"/>
        </w:rPr>
        <w:t>Do not make the graph visualization the only user interface. Executives, control owners, and analysts need role-specific workflows.</w:t>
      </w:r>
    </w:p>
    <w:p>
      <w:pPr>
        <w:pStyle w:val="Heading1"/>
        <w:keepNext/>
        <w:spacing w:before="320" w:after="160"/>
      </w:pPr>
      <w:r>
        <w:rPr>
          <w:rFonts w:ascii="Calibri" w:hAnsi="Calibri"/>
          <w:b/>
          <w:color w:val="2E74B5"/>
          <w:sz w:val="32"/>
        </w:rPr>
        <w:t>3. Target Architecture</w:t>
      </w:r>
    </w:p>
    <w:p>
      <w:pPr>
        <w:spacing w:after="120" w:line="264" w:lineRule="auto"/>
      </w:pPr>
      <w:r>
        <w:rPr>
          <w:rFonts w:ascii="Calibri" w:hAnsi="Calibri"/>
          <w:color w:val="141414"/>
          <w:sz w:val="22"/>
        </w:rPr>
        <w:t>The platform should be built around a property graph persisted in Amazon Neptune. The graph model is appropriate because the product's value comes from traversing many-to-many relationships: controls to assets, controls to requirements, controls to evidence, controls to risks, controls to owners, controls to policies, and controls to vendor dependencies.</w:t>
      </w:r>
    </w:p>
    <w:p>
      <w:pPr>
        <w:pStyle w:val="Heading2"/>
        <w:keepNext/>
        <w:spacing w:before="240" w:after="120"/>
      </w:pPr>
      <w:r>
        <w:rPr>
          <w:rFonts w:ascii="Calibri" w:hAnsi="Calibri"/>
          <w:b/>
          <w:color w:val="2E74B5"/>
          <w:sz w:val="26"/>
        </w:rPr>
        <w:t>3.1 Logical Layers</w:t>
      </w:r>
    </w:p>
    <w:tbl>
      <w:tblGrid>
        <w:gridCol w:w="1900"/>
        <w:gridCol w:w="4300"/>
        <w:gridCol w:w="3160"/>
      </w:tblGrid>
      <w:tblPr>
        <w:tblStyle w:val="TableGrid"/>
        <w:tblW w:type="dxa" w:w="9360"/>
        <w:tblLayout w:type="fixed"/>
        <w:tblLook w:firstColumn="1" w:firstRow="1" w:lastColumn="0" w:lastRow="0" w:noHBand="0" w:noVBand="1" w:val="04A0"/>
        <w:jc w:val="center"/>
        <w:tblInd w:w="120" w:type="dxa"/>
      </w:tblPr>
      <w:tr>
        <w:tc>
          <w:tcPr>
            <w:tcW w:type="dxa" w:w="1900"/>
            <w:vAlign w:val="center"/>
            <w:tcMar>
              <w:top w:w="80" w:type="dxa"/>
              <w:bottom w:w="80" w:type="dxa"/>
              <w:start w:w="120" w:type="dxa"/>
              <w:end w:w="120" w:type="dxa"/>
            </w:tcMar>
            <w:shd w:fill="F2F4F7"/>
          </w:tcPr>
          <w:p>
            <w:pPr>
              <w:spacing w:after="0"/>
            </w:pPr>
            <w:r>
              <w:rPr>
                <w:rFonts w:ascii="Calibri" w:hAnsi="Calibri"/>
                <w:b/>
                <w:color w:val="141414"/>
                <w:sz w:val="19"/>
              </w:rPr>
              <w:t>Layer</w:t>
            </w:r>
          </w:p>
        </w:tc>
        <w:tc>
          <w:tcPr>
            <w:tcW w:type="dxa" w:w="4300"/>
            <w:vAlign w:val="center"/>
            <w:tcMar>
              <w:top w:w="80" w:type="dxa"/>
              <w:bottom w:w="80" w:type="dxa"/>
              <w:start w:w="120" w:type="dxa"/>
              <w:end w:w="120" w:type="dxa"/>
            </w:tcMar>
            <w:shd w:fill="F2F4F7"/>
          </w:tcPr>
          <w:p>
            <w:pPr>
              <w:spacing w:after="0"/>
            </w:pPr>
            <w:r>
              <w:rPr>
                <w:rFonts w:ascii="Calibri" w:hAnsi="Calibri"/>
                <w:b/>
                <w:color w:val="141414"/>
                <w:sz w:val="19"/>
              </w:rPr>
              <w:t>Responsibilities</w:t>
            </w:r>
          </w:p>
        </w:tc>
        <w:tc>
          <w:tcPr>
            <w:tcW w:type="dxa" w:w="3160"/>
            <w:vAlign w:val="center"/>
            <w:tcMar>
              <w:top w:w="80" w:type="dxa"/>
              <w:bottom w:w="80" w:type="dxa"/>
              <w:start w:w="120" w:type="dxa"/>
              <w:end w:w="120" w:type="dxa"/>
            </w:tcMar>
            <w:shd w:fill="F2F4F7"/>
          </w:tcPr>
          <w:p>
            <w:pPr>
              <w:spacing w:after="0"/>
            </w:pPr>
            <w:r>
              <w:rPr>
                <w:rFonts w:ascii="Calibri" w:hAnsi="Calibri"/>
                <w:b/>
                <w:color w:val="141414"/>
                <w:sz w:val="19"/>
              </w:rPr>
              <w:t>Primary Services / Components</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Product UI</w:t>
            </w:r>
          </w:p>
        </w:tc>
        <w:tc>
          <w:tcPr>
            <w:tcW w:type="dxa" w:w="4300"/>
            <w:vAlign w:val="center"/>
            <w:tcMar>
              <w:top w:w="80" w:type="dxa"/>
              <w:bottom w:w="80" w:type="dxa"/>
              <w:start w:w="120" w:type="dxa"/>
              <w:end w:w="120" w:type="dxa"/>
            </w:tcMar>
          </w:tcPr>
          <w:p>
            <w:pPr>
              <w:spacing w:after="0"/>
            </w:pPr>
            <w:r>
              <w:rPr>
                <w:rFonts w:ascii="Calibri" w:hAnsi="Calibri"/>
                <w:color w:val="141414"/>
                <w:sz w:val="19"/>
              </w:rPr>
              <w:t>Role-specific experiences for dashboards, control detail, graph exploration, approval queues, evidence review, policies, vendor risk, and settings</w:t>
            </w:r>
          </w:p>
        </w:tc>
        <w:tc>
          <w:tcPr>
            <w:tcW w:type="dxa" w:w="3160"/>
            <w:vAlign w:val="center"/>
            <w:tcMar>
              <w:top w:w="80" w:type="dxa"/>
              <w:bottom w:w="80" w:type="dxa"/>
              <w:start w:w="120" w:type="dxa"/>
              <w:end w:w="120" w:type="dxa"/>
            </w:tcMar>
          </w:tcPr>
          <w:p>
            <w:pPr>
              <w:spacing w:after="0"/>
            </w:pPr>
            <w:r>
              <w:rPr>
                <w:rFonts w:ascii="Calibri" w:hAnsi="Calibri"/>
                <w:color w:val="141414"/>
                <w:sz w:val="19"/>
              </w:rPr>
              <w:t>React on AWS, Cognito or enterprise SSO, Cytoscape.js or similar graph visualization</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API Gateway and Middleware</w:t>
            </w:r>
          </w:p>
        </w:tc>
        <w:tc>
          <w:tcPr>
            <w:tcW w:type="dxa" w:w="4300"/>
            <w:vAlign w:val="center"/>
            <w:tcMar>
              <w:top w:w="80" w:type="dxa"/>
              <w:bottom w:w="80" w:type="dxa"/>
              <w:start w:w="120" w:type="dxa"/>
              <w:end w:w="120" w:type="dxa"/>
            </w:tcMar>
          </w:tcPr>
          <w:p>
            <w:pPr>
              <w:spacing w:after="0"/>
            </w:pPr>
            <w:r>
              <w:rPr>
                <w:rFonts w:ascii="Calibri" w:hAnsi="Calibri"/>
                <w:color w:val="141414"/>
                <w:sz w:val="19"/>
              </w:rPr>
              <w:t>RBAC enforcement, tenant scoping, schema validation, idempotency, HMAC webhook verification, AI action allow-lists, graph query construction</w:t>
            </w:r>
          </w:p>
        </w:tc>
        <w:tc>
          <w:tcPr>
            <w:tcW w:type="dxa" w:w="3160"/>
            <w:vAlign w:val="center"/>
            <w:tcMar>
              <w:top w:w="80" w:type="dxa"/>
              <w:bottom w:w="80" w:type="dxa"/>
              <w:start w:w="120" w:type="dxa"/>
              <w:end w:w="120" w:type="dxa"/>
            </w:tcMar>
          </w:tcPr>
          <w:p>
            <w:pPr>
              <w:spacing w:after="0"/>
            </w:pPr>
            <w:r>
              <w:rPr>
                <w:rFonts w:ascii="Calibri" w:hAnsi="Calibri"/>
                <w:color w:val="141414"/>
                <w:sz w:val="19"/>
              </w:rPr>
              <w:t>AWS API Gateway or ALB, containerized service, validation library, policy engine</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Control Graph</w:t>
            </w:r>
          </w:p>
        </w:tc>
        <w:tc>
          <w:tcPr>
            <w:tcW w:type="dxa" w:w="4300"/>
            <w:vAlign w:val="center"/>
            <w:tcMar>
              <w:top w:w="80" w:type="dxa"/>
              <w:bottom w:w="80" w:type="dxa"/>
              <w:start w:w="120" w:type="dxa"/>
              <w:end w:w="120" w:type="dxa"/>
            </w:tcMar>
          </w:tcPr>
          <w:p>
            <w:pPr>
              <w:spacing w:after="0"/>
            </w:pPr>
            <w:r>
              <w:rPr>
                <w:rFonts w:ascii="Calibri" w:hAnsi="Calibri"/>
                <w:color w:val="141414"/>
                <w:sz w:val="19"/>
              </w:rPr>
              <w:t>System of record for controls and relationships</w:t>
            </w:r>
          </w:p>
        </w:tc>
        <w:tc>
          <w:tcPr>
            <w:tcW w:type="dxa" w:w="3160"/>
            <w:vAlign w:val="center"/>
            <w:tcMar>
              <w:top w:w="80" w:type="dxa"/>
              <w:bottom w:w="80" w:type="dxa"/>
              <w:start w:w="120" w:type="dxa"/>
              <w:end w:w="120" w:type="dxa"/>
            </w:tcMar>
          </w:tcPr>
          <w:p>
            <w:pPr>
              <w:spacing w:after="0"/>
            </w:pPr>
            <w:r>
              <w:rPr>
                <w:rFonts w:ascii="Calibri" w:hAnsi="Calibri"/>
                <w:color w:val="141414"/>
                <w:sz w:val="19"/>
              </w:rPr>
              <w:t>Amazon Neptune using property graph semantics with Gremlin or openCypher</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Evidence Store</w:t>
            </w:r>
          </w:p>
        </w:tc>
        <w:tc>
          <w:tcPr>
            <w:tcW w:type="dxa" w:w="4300"/>
            <w:vAlign w:val="center"/>
            <w:tcMar>
              <w:top w:w="80" w:type="dxa"/>
              <w:bottom w:w="80" w:type="dxa"/>
              <w:start w:w="120" w:type="dxa"/>
              <w:end w:w="120" w:type="dxa"/>
            </w:tcMar>
          </w:tcPr>
          <w:p>
            <w:pPr>
              <w:spacing w:after="0"/>
            </w:pPr>
            <w:r>
              <w:rPr>
                <w:rFonts w:ascii="Calibri" w:hAnsi="Calibri"/>
                <w:color w:val="141414"/>
                <w:sz w:val="19"/>
              </w:rPr>
              <w:t>Immutable raw evidence, policy artifacts, audit packages, AI context logs, and versioned attachments</w:t>
            </w:r>
          </w:p>
        </w:tc>
        <w:tc>
          <w:tcPr>
            <w:tcW w:type="dxa" w:w="3160"/>
            <w:vAlign w:val="center"/>
            <w:tcMar>
              <w:top w:w="80" w:type="dxa"/>
              <w:bottom w:w="80" w:type="dxa"/>
              <w:start w:w="120" w:type="dxa"/>
              <w:end w:w="120" w:type="dxa"/>
            </w:tcMar>
          </w:tcPr>
          <w:p>
            <w:pPr>
              <w:spacing w:after="0"/>
            </w:pPr>
            <w:r>
              <w:rPr>
                <w:rFonts w:ascii="Calibri" w:hAnsi="Calibri"/>
                <w:color w:val="141414"/>
                <w:sz w:val="19"/>
              </w:rPr>
              <w:t>Amazon S3 with Object Lock, versioning, KMS encryption, retention policies</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AI Orchestration</w:t>
            </w:r>
          </w:p>
        </w:tc>
        <w:tc>
          <w:tcPr>
            <w:tcW w:type="dxa" w:w="4300"/>
            <w:vAlign w:val="center"/>
            <w:tcMar>
              <w:top w:w="80" w:type="dxa"/>
              <w:bottom w:w="80" w:type="dxa"/>
              <w:start w:w="120" w:type="dxa"/>
              <w:end w:w="120" w:type="dxa"/>
            </w:tcMar>
          </w:tcPr>
          <w:p>
            <w:pPr>
              <w:spacing w:after="0"/>
            </w:pPr>
            <w:r>
              <w:rPr>
                <w:rFonts w:ascii="Calibri" w:hAnsi="Calibri"/>
                <w:color w:val="141414"/>
                <w:sz w:val="19"/>
              </w:rPr>
              <w:t>Specialized agents for evidence validation, mapping, risk, KMS, vendor assessment, policy drafting, and remediation recommendations</w:t>
            </w:r>
          </w:p>
        </w:tc>
        <w:tc>
          <w:tcPr>
            <w:tcW w:type="dxa" w:w="3160"/>
            <w:vAlign w:val="center"/>
            <w:tcMar>
              <w:top w:w="80" w:type="dxa"/>
              <w:bottom w:w="80" w:type="dxa"/>
              <w:start w:w="120" w:type="dxa"/>
              <w:end w:w="120" w:type="dxa"/>
            </w:tcMar>
          </w:tcPr>
          <w:p>
            <w:pPr>
              <w:spacing w:after="0"/>
            </w:pPr>
            <w:r>
              <w:rPr>
                <w:rFonts w:ascii="Calibri" w:hAnsi="Calibri"/>
                <w:color w:val="141414"/>
                <w:sz w:val="19"/>
              </w:rPr>
              <w:t>Containerized orchestrator, model endpoint, structured output, telemetry harness</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Vector and RAG Index</w:t>
            </w:r>
          </w:p>
        </w:tc>
        <w:tc>
          <w:tcPr>
            <w:tcW w:type="dxa" w:w="4300"/>
            <w:vAlign w:val="center"/>
            <w:tcMar>
              <w:top w:w="80" w:type="dxa"/>
              <w:bottom w:w="80" w:type="dxa"/>
              <w:start w:w="120" w:type="dxa"/>
              <w:end w:w="120" w:type="dxa"/>
            </w:tcMar>
          </w:tcPr>
          <w:p>
            <w:pPr>
              <w:spacing w:after="0"/>
            </w:pPr>
            <w:r>
              <w:rPr>
                <w:rFonts w:ascii="Calibri" w:hAnsi="Calibri"/>
                <w:color w:val="141414"/>
                <w:sz w:val="19"/>
              </w:rPr>
              <w:t>Semantic retrieval of potentially relevant controls, policies, evidence, and framework requirements</w:t>
            </w:r>
          </w:p>
        </w:tc>
        <w:tc>
          <w:tcPr>
            <w:tcW w:type="dxa" w:w="3160"/>
            <w:vAlign w:val="center"/>
            <w:tcMar>
              <w:top w:w="80" w:type="dxa"/>
              <w:bottom w:w="80" w:type="dxa"/>
              <w:start w:w="120" w:type="dxa"/>
              <w:end w:w="120" w:type="dxa"/>
            </w:tcMar>
          </w:tcPr>
          <w:p>
            <w:pPr>
              <w:spacing w:after="0"/>
            </w:pPr>
            <w:r>
              <w:rPr>
                <w:rFonts w:ascii="Calibri" w:hAnsi="Calibri"/>
                <w:color w:val="141414"/>
                <w:sz w:val="19"/>
              </w:rPr>
              <w:t>Vector index keyed by graph identifiers; graph remains source of truth</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Risk Engine</w:t>
            </w:r>
          </w:p>
        </w:tc>
        <w:tc>
          <w:tcPr>
            <w:tcW w:type="dxa" w:w="4300"/>
            <w:vAlign w:val="center"/>
            <w:tcMar>
              <w:top w:w="80" w:type="dxa"/>
              <w:bottom w:w="80" w:type="dxa"/>
              <w:start w:w="120" w:type="dxa"/>
              <w:end w:w="120" w:type="dxa"/>
            </w:tcMar>
          </w:tcPr>
          <w:p>
            <w:pPr>
              <w:spacing w:after="0"/>
            </w:pPr>
            <w:r>
              <w:rPr>
                <w:rFonts w:ascii="Calibri" w:hAnsi="Calibri"/>
                <w:color w:val="141414"/>
                <w:sz w:val="19"/>
              </w:rPr>
              <w:t>FAIR scenario parameterization, Monte Carlo simulation, percentile reporting, appetite thresholds</w:t>
            </w:r>
          </w:p>
        </w:tc>
        <w:tc>
          <w:tcPr>
            <w:tcW w:type="dxa" w:w="3160"/>
            <w:vAlign w:val="center"/>
            <w:tcMar>
              <w:top w:w="80" w:type="dxa"/>
              <w:bottom w:w="80" w:type="dxa"/>
              <w:start w:w="120" w:type="dxa"/>
              <w:end w:w="120" w:type="dxa"/>
            </w:tcMar>
          </w:tcPr>
          <w:p>
            <w:pPr>
              <w:spacing w:after="0"/>
            </w:pPr>
            <w:r>
              <w:rPr>
                <w:rFonts w:ascii="Calibri" w:hAnsi="Calibri"/>
                <w:color w:val="141414"/>
                <w:sz w:val="19"/>
              </w:rPr>
              <w:t>Python microservice with numpy/scipy or equivalent statistical stack</w:t>
            </w:r>
          </w:p>
        </w:tc>
      </w:tr>
      <w:tr>
        <w:tc>
          <w:tcPr>
            <w:tcW w:type="dxa" w:w="1900"/>
            <w:vAlign w:val="center"/>
            <w:tcMar>
              <w:top w:w="80" w:type="dxa"/>
              <w:bottom w:w="80" w:type="dxa"/>
              <w:start w:w="120" w:type="dxa"/>
              <w:end w:w="120" w:type="dxa"/>
            </w:tcMar>
          </w:tcPr>
          <w:p>
            <w:pPr>
              <w:spacing w:after="0"/>
            </w:pPr>
            <w:r>
              <w:rPr>
                <w:rFonts w:ascii="Calibri" w:hAnsi="Calibri"/>
                <w:color w:val="141414"/>
                <w:sz w:val="19"/>
              </w:rPr>
              <w:t>Workflow Integrations</w:t>
            </w:r>
          </w:p>
        </w:tc>
        <w:tc>
          <w:tcPr>
            <w:tcW w:type="dxa" w:w="4300"/>
            <w:vAlign w:val="center"/>
            <w:tcMar>
              <w:top w:w="80" w:type="dxa"/>
              <w:bottom w:w="80" w:type="dxa"/>
              <w:start w:w="120" w:type="dxa"/>
              <w:end w:w="120" w:type="dxa"/>
            </w:tcMar>
          </w:tcPr>
          <w:p>
            <w:pPr>
              <w:spacing w:after="0"/>
            </w:pPr>
            <w:r>
              <w:rPr>
                <w:rFonts w:ascii="Calibri" w:hAnsi="Calibri"/>
                <w:color w:val="141414"/>
                <w:sz w:val="19"/>
              </w:rPr>
              <w:t>Tickets, notifications, stakeholder tasks, source system sync, legacy import</w:t>
            </w:r>
          </w:p>
        </w:tc>
        <w:tc>
          <w:tcPr>
            <w:tcW w:type="dxa" w:w="3160"/>
            <w:vAlign w:val="center"/>
            <w:tcMar>
              <w:top w:w="80" w:type="dxa"/>
              <w:bottom w:w="80" w:type="dxa"/>
              <w:start w:w="120" w:type="dxa"/>
              <w:end w:w="120" w:type="dxa"/>
            </w:tcMar>
          </w:tcPr>
          <w:p>
            <w:pPr>
              <w:spacing w:after="0"/>
            </w:pPr>
            <w:r>
              <w:rPr>
                <w:rFonts w:ascii="Calibri" w:hAnsi="Calibri"/>
                <w:color w:val="141414"/>
                <w:sz w:val="19"/>
              </w:rPr>
              <w:t>Jira, ServiceNow, Slack/Teams, AWS Security Hub, Okta/Entra, vulnerability scanners</w:t>
            </w:r>
          </w:p>
        </w:tc>
      </w:tr>
    </w:tbl>
    <w:p>
      <w:pPr>
        <w:spacing w:after="40"/>
      </w:pPr>
    </w:p>
    <w:p>
      <w:pPr>
        <w:pStyle w:val="Heading2"/>
        <w:keepNext/>
        <w:spacing w:before="240" w:after="120"/>
      </w:pPr>
      <w:r>
        <w:rPr>
          <w:rFonts w:ascii="Calibri" w:hAnsi="Calibri"/>
          <w:b/>
          <w:color w:val="2E74B5"/>
          <w:sz w:val="26"/>
        </w:rPr>
        <w:t>3.2 Architecture Flow</w:t>
      </w:r>
    </w:p>
    <w:p>
      <w:pPr>
        <w:spacing w:after="80" w:line="280" w:lineRule="auto"/>
        <w:ind w:left="504" w:hanging="504"/>
      </w:pPr>
      <w:r>
        <w:rPr>
          <w:rFonts w:ascii="Calibri" w:hAnsi="Calibri"/>
          <w:b/>
          <w:color w:val="141414"/>
          <w:sz w:val="22"/>
        </w:rPr>
        <w:t xml:space="preserve">1. </w:t>
      </w:r>
      <w:r>
        <w:rPr>
          <w:rFonts w:ascii="Calibri" w:hAnsi="Calibri"/>
          <w:color w:val="141414"/>
          <w:sz w:val="22"/>
        </w:rPr>
        <w:t>Source systems emit telemetry or documents through signed webhooks, APIs, scheduled jobs, or manual upload.</w:t>
      </w:r>
    </w:p>
    <w:p>
      <w:pPr>
        <w:spacing w:after="80" w:line="280" w:lineRule="auto"/>
        <w:ind w:left="504" w:hanging="504"/>
      </w:pPr>
      <w:r>
        <w:rPr>
          <w:rFonts w:ascii="Calibri" w:hAnsi="Calibri"/>
          <w:b/>
          <w:color w:val="141414"/>
          <w:sz w:val="22"/>
        </w:rPr>
        <w:t xml:space="preserve">2. </w:t>
      </w:r>
      <w:r>
        <w:rPr>
          <w:rFonts w:ascii="Calibri" w:hAnsi="Calibri"/>
          <w:color w:val="141414"/>
          <w:sz w:val="22"/>
        </w:rPr>
        <w:t>The middleware validates the payload envelope, enforces tenant and RBAC context, stores the raw evidence in S3, and routes only validated context to the proper agent.</w:t>
      </w:r>
    </w:p>
    <w:p>
      <w:pPr>
        <w:spacing w:after="80" w:line="280" w:lineRule="auto"/>
        <w:ind w:left="504" w:hanging="504"/>
      </w:pPr>
      <w:r>
        <w:rPr>
          <w:rFonts w:ascii="Calibri" w:hAnsi="Calibri"/>
          <w:b/>
          <w:color w:val="141414"/>
          <w:sz w:val="22"/>
        </w:rPr>
        <w:t xml:space="preserve">3. </w:t>
      </w:r>
      <w:r>
        <w:rPr>
          <w:rFonts w:ascii="Calibri" w:hAnsi="Calibri"/>
          <w:color w:val="141414"/>
          <w:sz w:val="22"/>
        </w:rPr>
        <w:t>The agent returns structured JSON, not free-form prose. The middleware validates that JSON against schema and allow-list rules.</w:t>
      </w:r>
    </w:p>
    <w:p>
      <w:pPr>
        <w:spacing w:after="80" w:line="280" w:lineRule="auto"/>
        <w:ind w:left="504" w:hanging="504"/>
      </w:pPr>
      <w:r>
        <w:rPr>
          <w:rFonts w:ascii="Calibri" w:hAnsi="Calibri"/>
          <w:b/>
          <w:color w:val="141414"/>
          <w:sz w:val="22"/>
        </w:rPr>
        <w:t xml:space="preserve">4. </w:t>
      </w:r>
      <w:r>
        <w:rPr>
          <w:rFonts w:ascii="Calibri" w:hAnsi="Calibri"/>
          <w:color w:val="141414"/>
          <w:sz w:val="22"/>
        </w:rPr>
        <w:t>Accepted decisions become graph updates, pending approval items, evidence edges, risk updates, tickets, or notifications.</w:t>
      </w:r>
    </w:p>
    <w:p>
      <w:pPr>
        <w:spacing w:after="80" w:line="280" w:lineRule="auto"/>
        <w:ind w:left="504" w:hanging="504"/>
      </w:pPr>
      <w:r>
        <w:rPr>
          <w:rFonts w:ascii="Calibri" w:hAnsi="Calibri"/>
          <w:b/>
          <w:color w:val="141414"/>
          <w:sz w:val="22"/>
        </w:rPr>
        <w:t xml:space="preserve">5. </w:t>
      </w:r>
      <w:r>
        <w:rPr>
          <w:rFonts w:ascii="Calibri" w:hAnsi="Calibri"/>
          <w:color w:val="141414"/>
          <w:sz w:val="22"/>
        </w:rPr>
        <w:t>Every AI decision receives a cognitive audit log, hash, model/version metadata, and graph relationship to the agent that produced it.</w:t>
      </w:r>
    </w:p>
    <w:p>
      <w:pPr>
        <w:pStyle w:val="Heading2"/>
        <w:keepNext/>
        <w:spacing w:before="240" w:after="120"/>
      </w:pPr>
      <w:r>
        <w:rPr>
          <w:rFonts w:ascii="Calibri" w:hAnsi="Calibri"/>
          <w:b/>
          <w:color w:val="2E74B5"/>
          <w:sz w:val="26"/>
        </w:rPr>
        <w:t>3.3 Deployment Boundary</w:t>
      </w:r>
    </w:p>
    <w:p>
      <w:pPr>
        <w:spacing w:after="120" w:line="264" w:lineRule="auto"/>
      </w:pPr>
      <w:r>
        <w:rPr>
          <w:rFonts w:ascii="Calibri" w:hAnsi="Calibri"/>
          <w:color w:val="141414"/>
          <w:sz w:val="22"/>
        </w:rPr>
        <w:t>The UI and graph store should remain AWS-native for operational simplicity. If model orchestration runs in another cloud, engineers must use workload identity federation and short-lived credentials. Do not store long-lived AWS access keys in AI containers.</w:t>
      </w:r>
    </w:p>
    <w:p>
      <w:pPr>
        <w:pStyle w:val="Heading1"/>
        <w:keepNext/>
        <w:spacing w:before="320" w:after="160"/>
      </w:pPr>
      <w:r>
        <w:rPr>
          <w:rFonts w:ascii="Calibri" w:hAnsi="Calibri"/>
          <w:b/>
          <w:color w:val="2E74B5"/>
          <w:sz w:val="32"/>
        </w:rPr>
        <w:t>4. Control-Centric Graph Data Model</w:t>
      </w:r>
    </w:p>
    <w:p>
      <w:pPr>
        <w:spacing w:after="120" w:line="264" w:lineRule="auto"/>
      </w:pPr>
      <w:r>
        <w:rPr>
          <w:rFonts w:ascii="Calibri" w:hAnsi="Calibri"/>
          <w:color w:val="141414"/>
          <w:sz w:val="22"/>
        </w:rPr>
        <w:t>The Control node is the product's nucleus. Every other major entity should either connect directly to a control or connect through a path that explains control impact. This enables the product to answer practical questions such as: what proves this control, what assets does it protect, what requirements does it satisfy, who owns it, what vendors does it rely on, and what risk exposure changes if it fails?</w:t>
      </w:r>
    </w:p>
    <w:p>
      <w:pPr>
        <w:pStyle w:val="Heading2"/>
        <w:keepNext/>
        <w:spacing w:before="240" w:after="120"/>
      </w:pPr>
      <w:r>
        <w:rPr>
          <w:rFonts w:ascii="Calibri" w:hAnsi="Calibri"/>
          <w:b/>
          <w:color w:val="2E74B5"/>
          <w:sz w:val="26"/>
        </w:rPr>
        <w:t>4.1 Core Node Types</w:t>
      </w:r>
    </w:p>
    <w:tbl>
      <w:tblGrid>
        <w:gridCol w:w="1600"/>
        <w:gridCol w:w="3100"/>
        <w:gridCol w:w="4660"/>
      </w:tblGrid>
      <w:tblPr>
        <w:tblStyle w:val="TableGrid"/>
        <w:tblW w:type="dxa" w:w="9360"/>
        <w:tblLayout w:type="fixed"/>
        <w:tblLook w:firstColumn="1" w:firstRow="1" w:lastColumn="0" w:lastRow="0" w:noHBand="0" w:noVBand="1" w:val="04A0"/>
        <w:jc w:val="center"/>
        <w:tblInd w:w="120" w:type="dxa"/>
      </w:tblPr>
      <w:tr>
        <w:tc>
          <w:tcPr>
            <w:tcW w:type="dxa" w:w="1600"/>
            <w:vAlign w:val="center"/>
            <w:tcMar>
              <w:top w:w="80" w:type="dxa"/>
              <w:bottom w:w="80" w:type="dxa"/>
              <w:start w:w="120" w:type="dxa"/>
              <w:end w:w="120" w:type="dxa"/>
            </w:tcMar>
            <w:shd w:fill="F2F4F7"/>
          </w:tcPr>
          <w:p>
            <w:pPr>
              <w:spacing w:after="0"/>
            </w:pPr>
            <w:r>
              <w:rPr>
                <w:rFonts w:ascii="Calibri" w:hAnsi="Calibri"/>
                <w:b/>
                <w:color w:val="141414"/>
                <w:sz w:val="19"/>
              </w:rPr>
              <w:t>Node</w:t>
            </w:r>
          </w:p>
        </w:tc>
        <w:tc>
          <w:tcPr>
            <w:tcW w:type="dxa" w:w="3100"/>
            <w:vAlign w:val="center"/>
            <w:tcMar>
              <w:top w:w="80" w:type="dxa"/>
              <w:bottom w:w="80" w:type="dxa"/>
              <w:start w:w="120" w:type="dxa"/>
              <w:end w:w="120" w:type="dxa"/>
            </w:tcMar>
            <w:shd w:fill="F2F4F7"/>
          </w:tcPr>
          <w:p>
            <w:pPr>
              <w:spacing w:after="0"/>
            </w:pPr>
            <w:r>
              <w:rPr>
                <w:rFonts w:ascii="Calibri" w:hAnsi="Calibri"/>
                <w:b/>
                <w:color w:val="141414"/>
                <w:sz w:val="19"/>
              </w:rPr>
              <w:t>Purpose</w:t>
            </w:r>
          </w:p>
        </w:tc>
        <w:tc>
          <w:tcPr>
            <w:tcW w:type="dxa" w:w="4660"/>
            <w:vAlign w:val="center"/>
            <w:tcMar>
              <w:top w:w="80" w:type="dxa"/>
              <w:bottom w:w="80" w:type="dxa"/>
              <w:start w:w="120" w:type="dxa"/>
              <w:end w:w="120" w:type="dxa"/>
            </w:tcMar>
            <w:shd w:fill="F2F4F7"/>
          </w:tcPr>
          <w:p>
            <w:pPr>
              <w:spacing w:after="0"/>
            </w:pPr>
            <w:r>
              <w:rPr>
                <w:rFonts w:ascii="Calibri" w:hAnsi="Calibri"/>
                <w:b/>
                <w:color w:val="141414"/>
                <w:sz w:val="19"/>
              </w:rPr>
              <w:t>Required Properties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3100"/>
            <w:vAlign w:val="center"/>
            <w:tcMar>
              <w:top w:w="80" w:type="dxa"/>
              <w:bottom w:w="80" w:type="dxa"/>
              <w:start w:w="120" w:type="dxa"/>
              <w:end w:w="120" w:type="dxa"/>
            </w:tcMar>
          </w:tcPr>
          <w:p>
            <w:pPr>
              <w:spacing w:after="0"/>
            </w:pPr>
            <w:r>
              <w:rPr>
                <w:rFonts w:ascii="Calibri" w:hAnsi="Calibri"/>
                <w:color w:val="141414"/>
                <w:sz w:val="19"/>
              </w:rPr>
              <w:t>Canonical internal control record</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control_id, name, description, owner_id, implementation_status, control_type, automation_level, criticality, kpi_kri, fair_parameters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Requirement</w:t>
            </w:r>
          </w:p>
        </w:tc>
        <w:tc>
          <w:tcPr>
            <w:tcW w:type="dxa" w:w="3100"/>
            <w:vAlign w:val="center"/>
            <w:tcMar>
              <w:top w:w="80" w:type="dxa"/>
              <w:bottom w:w="80" w:type="dxa"/>
              <w:start w:w="120" w:type="dxa"/>
              <w:end w:w="120" w:type="dxa"/>
            </w:tcMar>
          </w:tcPr>
          <w:p>
            <w:pPr>
              <w:spacing w:after="0"/>
            </w:pPr>
            <w:r>
              <w:rPr>
                <w:rFonts w:ascii="Calibri" w:hAnsi="Calibri"/>
                <w:color w:val="141414"/>
                <w:sz w:val="19"/>
              </w:rPr>
              <w:t>External framework or regulatory requirement</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requirement_id, framework, version, citation_id, text, jurisdiction, effective_date, status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Asset</w:t>
            </w:r>
          </w:p>
        </w:tc>
        <w:tc>
          <w:tcPr>
            <w:tcW w:type="dxa" w:w="3100"/>
            <w:vAlign w:val="center"/>
            <w:tcMar>
              <w:top w:w="80" w:type="dxa"/>
              <w:bottom w:w="80" w:type="dxa"/>
              <w:start w:w="120" w:type="dxa"/>
              <w:end w:w="120" w:type="dxa"/>
            </w:tcMar>
          </w:tcPr>
          <w:p>
            <w:pPr>
              <w:spacing w:after="0"/>
            </w:pPr>
            <w:r>
              <w:rPr>
                <w:rFonts w:ascii="Calibri" w:hAnsi="Calibri"/>
                <w:color w:val="141414"/>
                <w:sz w:val="19"/>
              </w:rPr>
              <w:t>System, service, cloud resource, data store, IAM platform, container, application, or process</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asset_id, asset_type, name, environment, criticality, data_classification, owner_id</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Evidence</w:t>
            </w:r>
          </w:p>
        </w:tc>
        <w:tc>
          <w:tcPr>
            <w:tcW w:type="dxa" w:w="3100"/>
            <w:vAlign w:val="center"/>
            <w:tcMar>
              <w:top w:w="80" w:type="dxa"/>
              <w:bottom w:w="80" w:type="dxa"/>
              <w:start w:w="120" w:type="dxa"/>
              <w:end w:w="120" w:type="dxa"/>
            </w:tcMar>
          </w:tcPr>
          <w:p>
            <w:pPr>
              <w:spacing w:after="0"/>
            </w:pPr>
            <w:r>
              <w:rPr>
                <w:rFonts w:ascii="Calibri" w:hAnsi="Calibri"/>
                <w:color w:val="141414"/>
                <w:sz w:val="19"/>
              </w:rPr>
              <w:t>Raw or processed proof of control operation</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evidence_id, evidence_type, collection_method, source_system, s3_uri, s3_version_id, collected_at, valid_until, hash</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RiskScenario</w:t>
            </w:r>
          </w:p>
        </w:tc>
        <w:tc>
          <w:tcPr>
            <w:tcW w:type="dxa" w:w="3100"/>
            <w:vAlign w:val="center"/>
            <w:tcMar>
              <w:top w:w="80" w:type="dxa"/>
              <w:bottom w:w="80" w:type="dxa"/>
              <w:start w:w="120" w:type="dxa"/>
              <w:end w:w="120" w:type="dxa"/>
            </w:tcMar>
          </w:tcPr>
          <w:p>
            <w:pPr>
              <w:spacing w:after="0"/>
            </w:pPr>
            <w:r>
              <w:rPr>
                <w:rFonts w:ascii="Calibri" w:hAnsi="Calibri"/>
                <w:color w:val="141414"/>
                <w:sz w:val="19"/>
              </w:rPr>
              <w:t>FAIR scenario or enterprise risk record</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scenario_id, name, scope, loss_event, asset_id, lef_parameters, lm_parameters, ale_p10, ale_p50, ale_p90</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Vendor</w:t>
            </w:r>
          </w:p>
        </w:tc>
        <w:tc>
          <w:tcPr>
            <w:tcW w:type="dxa" w:w="3100"/>
            <w:vAlign w:val="center"/>
            <w:tcMar>
              <w:top w:w="80" w:type="dxa"/>
              <w:bottom w:w="80" w:type="dxa"/>
              <w:start w:w="120" w:type="dxa"/>
              <w:end w:w="120" w:type="dxa"/>
            </w:tcMar>
          </w:tcPr>
          <w:p>
            <w:pPr>
              <w:spacing w:after="0"/>
            </w:pPr>
            <w:r>
              <w:rPr>
                <w:rFonts w:ascii="Calibri" w:hAnsi="Calibri"/>
                <w:color w:val="141414"/>
                <w:sz w:val="19"/>
              </w:rPr>
              <w:t>Third party or service provider</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vendor_id, name, criticality_tier, data_access, business_owner, assessment_status, external_rating</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PolicyDocument</w:t>
            </w:r>
          </w:p>
        </w:tc>
        <w:tc>
          <w:tcPr>
            <w:tcW w:type="dxa" w:w="3100"/>
            <w:vAlign w:val="center"/>
            <w:tcMar>
              <w:top w:w="80" w:type="dxa"/>
              <w:bottom w:w="80" w:type="dxa"/>
              <w:start w:w="120" w:type="dxa"/>
              <w:end w:w="120" w:type="dxa"/>
            </w:tcMar>
          </w:tcPr>
          <w:p>
            <w:pPr>
              <w:spacing w:after="0"/>
            </w:pPr>
            <w:r>
              <w:rPr>
                <w:rFonts w:ascii="Calibri" w:hAnsi="Calibri"/>
                <w:color w:val="141414"/>
                <w:sz w:val="19"/>
              </w:rPr>
              <w:t>Policy, SOP, standard, procedure, or generated draft</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document_id, title, document_type, owner_id, status, s3_uri, approved_version</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UserTeam</w:t>
            </w:r>
          </w:p>
        </w:tc>
        <w:tc>
          <w:tcPr>
            <w:tcW w:type="dxa" w:w="3100"/>
            <w:vAlign w:val="center"/>
            <w:tcMar>
              <w:top w:w="80" w:type="dxa"/>
              <w:bottom w:w="80" w:type="dxa"/>
              <w:start w:w="120" w:type="dxa"/>
              <w:end w:w="120" w:type="dxa"/>
            </w:tcMar>
          </w:tcPr>
          <w:p>
            <w:pPr>
              <w:spacing w:after="0"/>
            </w:pPr>
            <w:r>
              <w:rPr>
                <w:rFonts w:ascii="Calibri" w:hAnsi="Calibri"/>
                <w:color w:val="141414"/>
                <w:sz w:val="19"/>
              </w:rPr>
              <w:t>Human owner, approver, team, or escalation group</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principal_id, name, email, roles, assigned_controls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Agent</w:t>
            </w:r>
          </w:p>
        </w:tc>
        <w:tc>
          <w:tcPr>
            <w:tcW w:type="dxa" w:w="3100"/>
            <w:vAlign w:val="center"/>
            <w:tcMar>
              <w:top w:w="80" w:type="dxa"/>
              <w:bottom w:w="80" w:type="dxa"/>
              <w:start w:w="120" w:type="dxa"/>
              <w:end w:w="120" w:type="dxa"/>
            </w:tcMar>
          </w:tcPr>
          <w:p>
            <w:pPr>
              <w:spacing w:after="0"/>
            </w:pPr>
            <w:r>
              <w:rPr>
                <w:rFonts w:ascii="Calibri" w:hAnsi="Calibri"/>
                <w:color w:val="141414"/>
                <w:sz w:val="19"/>
              </w:rPr>
              <w:t>AI agent identity and runtime version</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agent_id, agent_name, model_provider, model_version, service_account, permissions_boundary, lifecycle_status</w:t>
            </w:r>
          </w:p>
        </w:tc>
      </w:tr>
      <w:tr>
        <w:tc>
          <w:tcPr>
            <w:tcW w:type="dxa" w:w="1600"/>
            <w:vAlign w:val="center"/>
            <w:tcMar>
              <w:top w:w="80" w:type="dxa"/>
              <w:bottom w:w="80" w:type="dxa"/>
              <w:start w:w="120" w:type="dxa"/>
              <w:end w:w="120" w:type="dxa"/>
            </w:tcMar>
          </w:tcPr>
          <w:p>
            <w:pPr>
              <w:spacing w:after="0"/>
            </w:pPr>
            <w:r>
              <w:rPr>
                <w:rFonts w:ascii="Calibri" w:hAnsi="Calibri"/>
                <w:color w:val="141414"/>
                <w:sz w:val="19"/>
              </w:rPr>
              <w:t>AuditLog</w:t>
            </w:r>
          </w:p>
        </w:tc>
        <w:tc>
          <w:tcPr>
            <w:tcW w:type="dxa" w:w="3100"/>
            <w:vAlign w:val="center"/>
            <w:tcMar>
              <w:top w:w="80" w:type="dxa"/>
              <w:bottom w:w="80" w:type="dxa"/>
              <w:start w:w="120" w:type="dxa"/>
              <w:end w:w="120" w:type="dxa"/>
            </w:tcMar>
          </w:tcPr>
          <w:p>
            <w:pPr>
              <w:spacing w:after="0"/>
            </w:pPr>
            <w:r>
              <w:rPr>
                <w:rFonts w:ascii="Calibri" w:hAnsi="Calibri"/>
                <w:color w:val="141414"/>
                <w:sz w:val="19"/>
              </w:rPr>
              <w:t>Immutable record of human and AI decisions</w:t>
            </w:r>
          </w:p>
        </w:tc>
        <w:tc>
          <w:tcPr>
            <w:tcW w:type="dxa" w:w="4660"/>
            <w:vAlign w:val="center"/>
            <w:tcMar>
              <w:top w:w="80" w:type="dxa"/>
              <w:bottom w:w="80" w:type="dxa"/>
              <w:start w:w="120" w:type="dxa"/>
              <w:end w:w="120" w:type="dxa"/>
            </w:tcMar>
          </w:tcPr>
          <w:p>
            <w:pPr>
              <w:spacing w:after="0"/>
            </w:pPr>
            <w:r>
              <w:rPr>
                <w:rFonts w:ascii="Calibri" w:hAnsi="Calibri"/>
                <w:color w:val="141414"/>
                <w:sz w:val="19"/>
              </w:rPr>
              <w:t>tenant_id, audit_id, actor_id, action, context_hash, output_hash, timestamp, accepted_by_middleware</w:t>
            </w:r>
          </w:p>
        </w:tc>
      </w:tr>
    </w:tbl>
    <w:p>
      <w:pPr>
        <w:spacing w:after="40"/>
      </w:pPr>
    </w:p>
    <w:p>
      <w:pPr>
        <w:pStyle w:val="Heading2"/>
        <w:keepNext/>
        <w:spacing w:before="240" w:after="120"/>
      </w:pPr>
      <w:r>
        <w:rPr>
          <w:rFonts w:ascii="Calibri" w:hAnsi="Calibri"/>
          <w:b/>
          <w:color w:val="2E74B5"/>
          <w:sz w:val="26"/>
        </w:rPr>
        <w:t>4.2 Relationship Vocabulary</w:t>
      </w:r>
    </w:p>
    <w:tbl>
      <w:tblGrid>
        <w:gridCol w:w="1500"/>
        <w:gridCol w:w="1300"/>
        <w:gridCol w:w="1500"/>
        <w:gridCol w:w="5060"/>
      </w:tblGrid>
      <w:tblPr>
        <w:tblStyle w:val="TableGrid"/>
        <w:tblW w:type="dxa" w:w="9360"/>
        <w:tblLayout w:type="fixed"/>
        <w:tblLook w:firstColumn="1" w:firstRow="1" w:lastColumn="0" w:lastRow="0" w:noHBand="0" w:noVBand="1" w:val="04A0"/>
        <w:jc w:val="center"/>
        <w:tblInd w:w="120" w:type="dxa"/>
      </w:tblPr>
      <w:tr>
        <w:tc>
          <w:tcPr>
            <w:tcW w:type="dxa" w:w="1500"/>
            <w:vAlign w:val="center"/>
            <w:tcMar>
              <w:top w:w="80" w:type="dxa"/>
              <w:bottom w:w="80" w:type="dxa"/>
              <w:start w:w="120" w:type="dxa"/>
              <w:end w:w="120" w:type="dxa"/>
            </w:tcMar>
            <w:shd w:fill="F2F4F7"/>
          </w:tcPr>
          <w:p>
            <w:pPr>
              <w:spacing w:after="0"/>
            </w:pPr>
            <w:r>
              <w:rPr>
                <w:rFonts w:ascii="Calibri" w:hAnsi="Calibri"/>
                <w:b/>
                <w:color w:val="141414"/>
                <w:sz w:val="19"/>
              </w:rPr>
              <w:t>Edge</w:t>
            </w:r>
          </w:p>
        </w:tc>
        <w:tc>
          <w:tcPr>
            <w:tcW w:type="dxa" w:w="1300"/>
            <w:vAlign w:val="center"/>
            <w:tcMar>
              <w:top w:w="80" w:type="dxa"/>
              <w:bottom w:w="80" w:type="dxa"/>
              <w:start w:w="120" w:type="dxa"/>
              <w:end w:w="120" w:type="dxa"/>
            </w:tcMar>
            <w:shd w:fill="F2F4F7"/>
          </w:tcPr>
          <w:p>
            <w:pPr>
              <w:spacing w:after="0"/>
            </w:pPr>
            <w:r>
              <w:rPr>
                <w:rFonts w:ascii="Calibri" w:hAnsi="Calibri"/>
                <w:b/>
                <w:color w:val="141414"/>
                <w:sz w:val="19"/>
              </w:rPr>
              <w:t>From</w:t>
            </w:r>
          </w:p>
        </w:tc>
        <w:tc>
          <w:tcPr>
            <w:tcW w:type="dxa" w:w="1500"/>
            <w:vAlign w:val="center"/>
            <w:tcMar>
              <w:top w:w="80" w:type="dxa"/>
              <w:bottom w:w="80" w:type="dxa"/>
              <w:start w:w="120" w:type="dxa"/>
              <w:end w:w="120" w:type="dxa"/>
            </w:tcMar>
            <w:shd w:fill="F2F4F7"/>
          </w:tcPr>
          <w:p>
            <w:pPr>
              <w:spacing w:after="0"/>
            </w:pPr>
            <w:r>
              <w:rPr>
                <w:rFonts w:ascii="Calibri" w:hAnsi="Calibri"/>
                <w:b/>
                <w:color w:val="141414"/>
                <w:sz w:val="19"/>
              </w:rPr>
              <w:t>To</w:t>
            </w:r>
          </w:p>
        </w:tc>
        <w:tc>
          <w:tcPr>
            <w:tcW w:type="dxa" w:w="5060"/>
            <w:vAlign w:val="center"/>
            <w:tcMar>
              <w:top w:w="80" w:type="dxa"/>
              <w:bottom w:w="80" w:type="dxa"/>
              <w:start w:w="120" w:type="dxa"/>
              <w:end w:w="120" w:type="dxa"/>
            </w:tcMar>
            <w:shd w:fill="F2F4F7"/>
          </w:tcPr>
          <w:p>
            <w:pPr>
              <w:spacing w:after="0"/>
            </w:pPr>
            <w:r>
              <w:rPr>
                <w:rFonts w:ascii="Calibri" w:hAnsi="Calibri"/>
                <w:b/>
                <w:color w:val="141414"/>
                <w:sz w:val="19"/>
              </w:rPr>
              <w:t>Meaning / Key Properties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IMPLEMENTED_ON</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Asset</w:t>
            </w:r>
          </w:p>
        </w:tc>
        <w:tc>
          <w:tcPr>
            <w:tcW w:type="dxa" w:w="5060"/>
            <w:vAlign w:val="center"/>
            <w:tcMar>
              <w:top w:w="80" w:type="dxa"/>
              <w:bottom w:w="80" w:type="dxa"/>
              <w:start w:w="120" w:type="dxa"/>
              <w:end w:w="120" w:type="dxa"/>
            </w:tcMar>
          </w:tcPr>
          <w:p>
            <w:pPr>
              <w:spacing w:after="0"/>
            </w:pPr>
            <w:r>
              <w:rPr>
                <w:rFonts w:ascii="Calibri" w:hAnsi="Calibri"/>
                <w:color w:val="141414"/>
                <w:sz w:val="19"/>
              </w:rPr>
              <w:t>The control operates in a specific technical or process context. Properties: asset_context, testing_cadence, inheritance, scope_status.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SATISFIES</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Requirement</w:t>
            </w:r>
          </w:p>
        </w:tc>
        <w:tc>
          <w:tcPr>
            <w:tcW w:type="dxa" w:w="5060"/>
            <w:vAlign w:val="center"/>
            <w:tcMar>
              <w:top w:w="80" w:type="dxa"/>
              <w:bottom w:w="80" w:type="dxa"/>
              <w:start w:w="120" w:type="dxa"/>
              <w:end w:w="120" w:type="dxa"/>
            </w:tcMar>
          </w:tcPr>
          <w:p>
            <w:pPr>
              <w:spacing w:after="0"/>
            </w:pPr>
            <w:r>
              <w:rPr>
                <w:rFonts w:ascii="Calibri" w:hAnsi="Calibri"/>
                <w:color w:val="141414"/>
                <w:sz w:val="19"/>
              </w:rPr>
              <w:t>The control maps to a framework requirement. Properties: coverage_percentage, ai_mapping_confidence, state, approved_by, approved_at.</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PROVED_BY</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Evidence</w:t>
            </w:r>
          </w:p>
        </w:tc>
        <w:tc>
          <w:tcPr>
            <w:tcW w:type="dxa" w:w="5060"/>
            <w:vAlign w:val="center"/>
            <w:tcMar>
              <w:top w:w="80" w:type="dxa"/>
              <w:bottom w:w="80" w:type="dxa"/>
              <w:start w:w="120" w:type="dxa"/>
              <w:end w:w="120" w:type="dxa"/>
            </w:tcMar>
          </w:tcPr>
          <w:p>
            <w:pPr>
              <w:spacing w:after="0"/>
            </w:pPr>
            <w:r>
              <w:rPr>
                <w:rFonts w:ascii="Calibri" w:hAnsi="Calibri"/>
                <w:color w:val="141414"/>
                <w:sz w:val="19"/>
              </w:rPr>
              <w:t>Evidence supports control operation. Properties: valid_until, telemetry_source, evidence_scope, context_hash, state.</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MITIGATES</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RiskScenario</w:t>
            </w:r>
          </w:p>
        </w:tc>
        <w:tc>
          <w:tcPr>
            <w:tcW w:type="dxa" w:w="5060"/>
            <w:vAlign w:val="center"/>
            <w:tcMar>
              <w:top w:w="80" w:type="dxa"/>
              <w:bottom w:w="80" w:type="dxa"/>
              <w:start w:w="120" w:type="dxa"/>
              <w:end w:w="120" w:type="dxa"/>
            </w:tcMar>
          </w:tcPr>
          <w:p>
            <w:pPr>
              <w:spacing w:after="0"/>
            </w:pPr>
            <w:r>
              <w:rPr>
                <w:rFonts w:ascii="Calibri" w:hAnsi="Calibri"/>
                <w:color w:val="141414"/>
                <w:sz w:val="19"/>
              </w:rPr>
              <w:t>The control reduces frequency or magnitude for a defined scenario. Properties: lef_effect, lm_effect, confidence, assumption_set_id.</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OWNED_BY</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UserTeam</w:t>
            </w:r>
          </w:p>
        </w:tc>
        <w:tc>
          <w:tcPr>
            <w:tcW w:type="dxa" w:w="5060"/>
            <w:vAlign w:val="center"/>
            <w:tcMar>
              <w:top w:w="80" w:type="dxa"/>
              <w:bottom w:w="80" w:type="dxa"/>
              <w:start w:w="120" w:type="dxa"/>
              <w:end w:w="120" w:type="dxa"/>
            </w:tcMar>
          </w:tcPr>
          <w:p>
            <w:pPr>
              <w:spacing w:after="0"/>
            </w:pPr>
            <w:r>
              <w:rPr>
                <w:rFonts w:ascii="Calibri" w:hAnsi="Calibri"/>
                <w:color w:val="141414"/>
                <w:sz w:val="19"/>
              </w:rPr>
              <w:t>Accountability and escalation. Properties: role, escalation_path, last_notified.</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RELATED_TO</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5060"/>
            <w:vAlign w:val="center"/>
            <w:tcMar>
              <w:top w:w="80" w:type="dxa"/>
              <w:bottom w:w="80" w:type="dxa"/>
              <w:start w:w="120" w:type="dxa"/>
              <w:end w:w="120" w:type="dxa"/>
            </w:tcMar>
          </w:tcPr>
          <w:p>
            <w:pPr>
              <w:spacing w:after="0"/>
            </w:pPr>
            <w:r>
              <w:rPr>
                <w:rFonts w:ascii="Calibri" w:hAnsi="Calibri"/>
                <w:color w:val="141414"/>
                <w:sz w:val="19"/>
              </w:rPr>
              <w:t>Control dependency, prerequisite, overlap, compensating relationship, or conflict. Properties: relationship_type, rationale.</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GOVERNS</w:t>
            </w:r>
          </w:p>
        </w:tc>
        <w:tc>
          <w:tcPr>
            <w:tcW w:type="dxa" w:w="1300"/>
            <w:vAlign w:val="center"/>
            <w:tcMar>
              <w:top w:w="80" w:type="dxa"/>
              <w:bottom w:w="80" w:type="dxa"/>
              <w:start w:w="120" w:type="dxa"/>
              <w:end w:w="120" w:type="dxa"/>
            </w:tcMar>
          </w:tcPr>
          <w:p>
            <w:pPr>
              <w:spacing w:after="0"/>
            </w:pPr>
            <w:r>
              <w:rPr>
                <w:rFonts w:ascii="Calibri" w:hAnsi="Calibri"/>
                <w:color w:val="141414"/>
                <w:sz w:val="19"/>
              </w:rPr>
              <w:t>PolicyDocument</w:t>
            </w:r>
          </w:p>
        </w:tc>
        <w:tc>
          <w:tcPr>
            <w:tcW w:type="dxa" w:w="15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5060"/>
            <w:vAlign w:val="center"/>
            <w:tcMar>
              <w:top w:w="80" w:type="dxa"/>
              <w:bottom w:w="80" w:type="dxa"/>
              <w:start w:w="120" w:type="dxa"/>
              <w:end w:w="120" w:type="dxa"/>
            </w:tcMar>
          </w:tcPr>
          <w:p>
            <w:pPr>
              <w:spacing w:after="0"/>
            </w:pPr>
            <w:r>
              <w:rPr>
                <w:rFonts w:ascii="Calibri" w:hAnsi="Calibri"/>
                <w:color w:val="141414"/>
                <w:sz w:val="19"/>
              </w:rPr>
              <w:t>Document defines or supports the control. Properties: policy_section, effective_version.</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RELIED_UPON_FOR</w:t>
            </w:r>
          </w:p>
        </w:tc>
        <w:tc>
          <w:tcPr>
            <w:tcW w:type="dxa" w:w="1300"/>
            <w:vAlign w:val="center"/>
            <w:tcMar>
              <w:top w:w="80" w:type="dxa"/>
              <w:bottom w:w="80" w:type="dxa"/>
              <w:start w:w="120" w:type="dxa"/>
              <w:end w:w="120" w:type="dxa"/>
            </w:tcMar>
          </w:tcPr>
          <w:p>
            <w:pPr>
              <w:spacing w:after="0"/>
            </w:pPr>
            <w:r>
              <w:rPr>
                <w:rFonts w:ascii="Calibri" w:hAnsi="Calibri"/>
                <w:color w:val="141414"/>
                <w:sz w:val="19"/>
              </w:rPr>
              <w:t>Vendor</w:t>
            </w:r>
          </w:p>
        </w:tc>
        <w:tc>
          <w:tcPr>
            <w:tcW w:type="dxa" w:w="15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5060"/>
            <w:vAlign w:val="center"/>
            <w:tcMar>
              <w:top w:w="80" w:type="dxa"/>
              <w:bottom w:w="80" w:type="dxa"/>
              <w:start w:w="120" w:type="dxa"/>
              <w:end w:w="120" w:type="dxa"/>
            </w:tcMar>
          </w:tcPr>
          <w:p>
            <w:pPr>
              <w:spacing w:after="0"/>
            </w:pPr>
            <w:r>
              <w:rPr>
                <w:rFonts w:ascii="Calibri" w:hAnsi="Calibri"/>
                <w:color w:val="141414"/>
                <w:sz w:val="19"/>
              </w:rPr>
              <w:t>Third-party dependency supports a control. Properties: dependency_type, assessment_status.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PROCESSES_DATA_FOR</w:t>
            </w:r>
          </w:p>
        </w:tc>
        <w:tc>
          <w:tcPr>
            <w:tcW w:type="dxa" w:w="1300"/>
            <w:vAlign w:val="center"/>
            <w:tcMar>
              <w:top w:w="80" w:type="dxa"/>
              <w:bottom w:w="80" w:type="dxa"/>
              <w:start w:w="120" w:type="dxa"/>
              <w:end w:w="120" w:type="dxa"/>
            </w:tcMar>
          </w:tcPr>
          <w:p>
            <w:pPr>
              <w:spacing w:after="0"/>
            </w:pPr>
            <w:r>
              <w:rPr>
                <w:rFonts w:ascii="Calibri" w:hAnsi="Calibri"/>
                <w:color w:val="141414"/>
                <w:sz w:val="19"/>
              </w:rPr>
              <w:t>Vendor</w:t>
            </w:r>
          </w:p>
        </w:tc>
        <w:tc>
          <w:tcPr>
            <w:tcW w:type="dxa" w:w="1500"/>
            <w:vAlign w:val="center"/>
            <w:tcMar>
              <w:top w:w="80" w:type="dxa"/>
              <w:bottom w:w="80" w:type="dxa"/>
              <w:start w:w="120" w:type="dxa"/>
              <w:end w:w="120" w:type="dxa"/>
            </w:tcMar>
          </w:tcPr>
          <w:p>
            <w:pPr>
              <w:spacing w:after="0"/>
            </w:pPr>
            <w:r>
              <w:rPr>
                <w:rFonts w:ascii="Calibri" w:hAnsi="Calibri"/>
                <w:color w:val="141414"/>
                <w:sz w:val="19"/>
              </w:rPr>
              <w:t>Asset</w:t>
            </w:r>
          </w:p>
        </w:tc>
        <w:tc>
          <w:tcPr>
            <w:tcW w:type="dxa" w:w="5060"/>
            <w:vAlign w:val="center"/>
            <w:tcMar>
              <w:top w:w="80" w:type="dxa"/>
              <w:bottom w:w="80" w:type="dxa"/>
              <w:start w:w="120" w:type="dxa"/>
              <w:end w:w="120" w:type="dxa"/>
            </w:tcMar>
          </w:tcPr>
          <w:p>
            <w:pPr>
              <w:spacing w:after="0"/>
            </w:pPr>
            <w:r>
              <w:rPr>
                <w:rFonts w:ascii="Calibri" w:hAnsi="Calibri"/>
                <w:color w:val="141414"/>
                <w:sz w:val="19"/>
              </w:rPr>
              <w:t>Vendor processes data for a business asset. Properties: data_type, region, processing_role.</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EVALUATED_BY</w:t>
            </w:r>
          </w:p>
        </w:tc>
        <w:tc>
          <w:tcPr>
            <w:tcW w:type="dxa" w:w="1300"/>
            <w:vAlign w:val="center"/>
            <w:tcMar>
              <w:top w:w="80" w:type="dxa"/>
              <w:bottom w:w="80" w:type="dxa"/>
              <w:start w:w="120" w:type="dxa"/>
              <w:end w:w="120" w:type="dxa"/>
            </w:tcMar>
          </w:tcPr>
          <w:p>
            <w:pPr>
              <w:spacing w:after="0"/>
            </w:pPr>
            <w:r>
              <w:rPr>
                <w:rFonts w:ascii="Calibri" w:hAnsi="Calibri"/>
                <w:color w:val="141414"/>
                <w:sz w:val="19"/>
              </w:rPr>
              <w:t>Control</w:t>
            </w:r>
          </w:p>
        </w:tc>
        <w:tc>
          <w:tcPr>
            <w:tcW w:type="dxa" w:w="1500"/>
            <w:vAlign w:val="center"/>
            <w:tcMar>
              <w:top w:w="80" w:type="dxa"/>
              <w:bottom w:w="80" w:type="dxa"/>
              <w:start w:w="120" w:type="dxa"/>
              <w:end w:w="120" w:type="dxa"/>
            </w:tcMar>
          </w:tcPr>
          <w:p>
            <w:pPr>
              <w:spacing w:after="0"/>
            </w:pPr>
            <w:r>
              <w:rPr>
                <w:rFonts w:ascii="Calibri" w:hAnsi="Calibri"/>
                <w:color w:val="141414"/>
                <w:sz w:val="19"/>
              </w:rPr>
              <w:t>Agent</w:t>
            </w:r>
          </w:p>
        </w:tc>
        <w:tc>
          <w:tcPr>
            <w:tcW w:type="dxa" w:w="5060"/>
            <w:vAlign w:val="center"/>
            <w:tcMar>
              <w:top w:w="80" w:type="dxa"/>
              <w:bottom w:w="80" w:type="dxa"/>
              <w:start w:w="120" w:type="dxa"/>
              <w:end w:w="120" w:type="dxa"/>
            </w:tcMar>
          </w:tcPr>
          <w:p>
            <w:pPr>
              <w:spacing w:after="0"/>
            </w:pPr>
            <w:r>
              <w:rPr>
                <w:rFonts w:ascii="Calibri" w:hAnsi="Calibri"/>
                <w:color w:val="141414"/>
                <w:sz w:val="19"/>
              </w:rPr>
              <w:t>AI agent produced a decision or recommendation. Properties: model_version, prompt_version, context_hash, verdict.</w:t>
            </w:r>
          </w:p>
        </w:tc>
      </w:tr>
    </w:tbl>
    <w:p>
      <w:pPr>
        <w:spacing w:after="40"/>
      </w:pPr>
    </w:p>
    <w:p>
      <w:pPr>
        <w:pStyle w:val="Heading2"/>
        <w:keepNext/>
        <w:spacing w:before="240" w:after="120"/>
      </w:pPr>
      <w:r>
        <w:rPr>
          <w:rFonts w:ascii="Calibri" w:hAnsi="Calibri"/>
          <w:b/>
          <w:color w:val="2E74B5"/>
          <w:sz w:val="26"/>
        </w:rPr>
        <w:t>4.3 Control Node JSON Schema Skeleton</w:t>
      </w:r>
    </w:p>
    <w:tbl>
      <w:tblGrid>
        <w:gridCol w:w="9360"/>
      </w:tblGrid>
      <w:tblPr>
        <w:tblStyle w:val="TableGrid"/>
        <w:tblW w:type="dxa" w:w="9360"/>
        <w:jc w:val="center"/>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8F9FB"/>
          </w:tcPr>
          <w:p>
            <w:pPr>
              <w:spacing w:after="0" w:line="240" w:lineRule="auto"/>
            </w:pPr>
            <w:r>
              <w:rPr>
                <w:rFonts w:ascii="Consolas" w:hAnsi="Consolas"/>
                <w:color w:val="1E1E1E"/>
                <w:sz w:val="17"/>
              </w:rPr>
              <w:t>{</w:t>
              <w:br/>
              <w:t xml:space="preserve">  "$schema": "https://json-schema.org/draft/2020-12/schema",</w:t>
              <w:br/>
              <w:t xml:space="preserve">  "title": "ControlNode",</w:t>
              <w:br/>
              <w:t xml:space="preserve">  "type": "object",</w:t>
              <w:br/>
              <w:t xml:space="preserve">  "required": ["tenant_id", "control_id", "name", "owner_id", "implementation_status"],</w:t>
              <w:br/>
              <w:t xml:space="preserve">  "properties": {</w:t>
              <w:br/>
              <w:t xml:space="preserve">    "tenant_id": {"type": "string"},</w:t>
              <w:br/>
              <w:t xml:space="preserve">    "node_type": {"const": "Control"},</w:t>
              <w:br/>
              <w:t xml:space="preserve">    "control_id": {"type": "string"},</w:t>
              <w:br/>
              <w:t xml:space="preserve">    "name": {"type": "string"},</w:t>
              <w:br/>
              <w:t xml:space="preserve">    "description": {"type": "string"},</w:t>
              <w:br/>
              <w:t xml:space="preserve">    "control_type": {"enum": ["Preventive", "Detective", "Corrective", "Directive"]},</w:t>
              <w:br/>
              <w:t xml:space="preserve">    "automation_level": {"enum": ["Manual", "Partially Automated", "Fully Automated", "Agentic"]},</w:t>
              <w:br/>
              <w:t xml:space="preserve">    "owner_id": {"type": "string"},</w:t>
              <w:br/>
              <w:t xml:space="preserve">    "implementation_status": {"enum": ["Not Started", "In Progress", "Implemented", "Degraded", "Failed", "Retired"]},</w:t>
              <w:br/>
              <w:t xml:space="preserve">    "criticality": {"enum": ["Low", "Medium", "High", "Mission Critical"]},</w:t>
              <w:br/>
              <w:t xml:space="preserve">    "kpi_kri": {"type": "object"},</w:t>
              <w:br/>
              <w:t xml:space="preserve">    "fair_parameters": {"type": "object"},</w:t>
              <w:br/>
              <w:t xml:space="preserve">    "ai_metadata": {"type": "object"}</w:t>
              <w:br/>
              <w:t xml:space="preserve">  }</w:t>
              <w:br/>
              <w:t>}</w:t>
            </w:r>
          </w:p>
        </w:tc>
      </w:tr>
    </w:tbl>
    <w:p>
      <w:pPr>
        <w:pStyle w:val="Heading2"/>
        <w:keepNext/>
        <w:spacing w:before="240" w:after="120"/>
      </w:pPr>
      <w:r>
        <w:rPr>
          <w:rFonts w:ascii="Calibri" w:hAnsi="Calibri"/>
          <w:b/>
          <w:color w:val="2E74B5"/>
          <w:sz w:val="26"/>
        </w:rPr>
        <w:t>4.4 Data Model Rules</w:t>
      </w:r>
    </w:p>
    <w:p>
      <w:pPr>
        <w:spacing w:after="80" w:line="280" w:lineRule="auto"/>
        <w:ind w:left="360" w:hanging="216"/>
      </w:pPr>
      <w:r>
        <w:rPr>
          <w:rFonts w:ascii="Calibri" w:hAnsi="Calibri"/>
          <w:color w:val="141414"/>
          <w:sz w:val="22"/>
        </w:rPr>
        <w:t xml:space="preserve">- </w:t>
      </w:r>
      <w:r>
        <w:rPr>
          <w:rFonts w:ascii="Calibri" w:hAnsi="Calibri"/>
          <w:color w:val="141414"/>
          <w:sz w:val="22"/>
        </w:rPr>
        <w:t>Every node and edge must carry tenant_id. The middleware must inject tenant filters into every query, including AI-generated read-only queries.</w:t>
      </w:r>
    </w:p>
    <w:p>
      <w:pPr>
        <w:spacing w:after="80" w:line="280" w:lineRule="auto"/>
        <w:ind w:left="360" w:hanging="216"/>
      </w:pPr>
      <w:r>
        <w:rPr>
          <w:rFonts w:ascii="Calibri" w:hAnsi="Calibri"/>
          <w:color w:val="141414"/>
          <w:sz w:val="22"/>
        </w:rPr>
        <w:t xml:space="preserve">- </w:t>
      </w:r>
      <w:r>
        <w:rPr>
          <w:rFonts w:ascii="Calibri" w:hAnsi="Calibri"/>
          <w:color w:val="141414"/>
          <w:sz w:val="22"/>
        </w:rPr>
        <w:t>A control can be implemented differently per asset; store that difference on the IMPLEMENTED_ON edge instead of duplicating controls for every context.</w:t>
      </w:r>
    </w:p>
    <w:p>
      <w:pPr>
        <w:spacing w:after="80" w:line="280" w:lineRule="auto"/>
        <w:ind w:left="360" w:hanging="216"/>
      </w:pPr>
      <w:r>
        <w:rPr>
          <w:rFonts w:ascii="Calibri" w:hAnsi="Calibri"/>
          <w:color w:val="141414"/>
          <w:sz w:val="22"/>
        </w:rPr>
        <w:t xml:space="preserve">- </w:t>
      </w:r>
      <w:r>
        <w:rPr>
          <w:rFonts w:ascii="Calibri" w:hAnsi="Calibri"/>
          <w:color w:val="141414"/>
          <w:sz w:val="22"/>
        </w:rPr>
        <w:t>AI-generated mappings and high-risk changes begin as PENDING_APPROVAL, not ACTIVE.</w:t>
      </w:r>
    </w:p>
    <w:p>
      <w:pPr>
        <w:spacing w:after="80" w:line="280" w:lineRule="auto"/>
        <w:ind w:left="360" w:hanging="216"/>
      </w:pPr>
      <w:r>
        <w:rPr>
          <w:rFonts w:ascii="Calibri" w:hAnsi="Calibri"/>
          <w:color w:val="141414"/>
          <w:sz w:val="22"/>
        </w:rPr>
        <w:t xml:space="preserve">- </w:t>
      </w:r>
      <w:r>
        <w:rPr>
          <w:rFonts w:ascii="Calibri" w:hAnsi="Calibri"/>
          <w:color w:val="141414"/>
          <w:sz w:val="22"/>
        </w:rPr>
        <w:t>Evidence edges must store exact S3 object version identifiers so auditors retrieve the exact artifact reviewed at decision time.</w:t>
      </w:r>
    </w:p>
    <w:p>
      <w:pPr>
        <w:spacing w:after="80" w:line="280" w:lineRule="auto"/>
        <w:ind w:left="360" w:hanging="216"/>
      </w:pPr>
      <w:r>
        <w:rPr>
          <w:rFonts w:ascii="Calibri" w:hAnsi="Calibri"/>
          <w:color w:val="141414"/>
          <w:sz w:val="22"/>
        </w:rPr>
        <w:t xml:space="preserve">- </w:t>
      </w:r>
      <w:r>
        <w:rPr>
          <w:rFonts w:ascii="Calibri" w:hAnsi="Calibri"/>
          <w:color w:val="141414"/>
          <w:sz w:val="22"/>
        </w:rPr>
        <w:t>Never store full evidence bodies in the vector index. Store graph identifiers and minimal metadata; retrieve authoritative content from S3 and Neptune.</w:t>
      </w:r>
    </w:p>
    <w:p>
      <w:pPr>
        <w:pStyle w:val="Heading1"/>
        <w:keepNext/>
        <w:spacing w:before="320" w:after="160"/>
      </w:pPr>
      <w:r>
        <w:rPr>
          <w:rFonts w:ascii="Calibri" w:hAnsi="Calibri"/>
          <w:b/>
          <w:color w:val="2E74B5"/>
          <w:sz w:val="32"/>
        </w:rPr>
        <w:t>5. Product Modules and Functional Requirements</w:t>
      </w:r>
    </w:p>
    <w:tbl>
      <w:tblGrid>
        <w:gridCol w:w="1700"/>
        <w:gridCol w:w="4600"/>
        <w:gridCol w:w="3060"/>
      </w:tblGrid>
      <w:tblPr>
        <w:tblStyle w:val="TableGrid"/>
        <w:tblW w:type="dxa" w:w="9360"/>
        <w:tblLayout w:type="fixed"/>
        <w:tblLook w:firstColumn="1" w:firstRow="1" w:lastColumn="0" w:lastRow="0" w:noHBand="0" w:noVBand="1" w:val="04A0"/>
        <w:jc w:val="center"/>
        <w:tblInd w:w="120" w:type="dxa"/>
      </w:tblPr>
      <w:tr>
        <w:tc>
          <w:tcPr>
            <w:tcW w:type="dxa" w:w="1700"/>
            <w:vAlign w:val="center"/>
            <w:tcMar>
              <w:top w:w="80" w:type="dxa"/>
              <w:bottom w:w="80" w:type="dxa"/>
              <w:start w:w="120" w:type="dxa"/>
              <w:end w:w="120" w:type="dxa"/>
            </w:tcMar>
            <w:shd w:fill="F2F4F7"/>
          </w:tcPr>
          <w:p>
            <w:pPr>
              <w:spacing w:after="0"/>
            </w:pPr>
            <w:r>
              <w:rPr>
                <w:rFonts w:ascii="Calibri" w:hAnsi="Calibri"/>
                <w:b/>
                <w:color w:val="141414"/>
                <w:sz w:val="19"/>
              </w:rPr>
              <w:t>Module</w:t>
            </w:r>
          </w:p>
        </w:tc>
        <w:tc>
          <w:tcPr>
            <w:tcW w:type="dxa" w:w="4600"/>
            <w:vAlign w:val="center"/>
            <w:tcMar>
              <w:top w:w="80" w:type="dxa"/>
              <w:bottom w:w="80" w:type="dxa"/>
              <w:start w:w="120" w:type="dxa"/>
              <w:end w:w="120" w:type="dxa"/>
            </w:tcMar>
            <w:shd w:fill="F2F4F7"/>
          </w:tcPr>
          <w:p>
            <w:pPr>
              <w:spacing w:after="0"/>
            </w:pPr>
            <w:r>
              <w:rPr>
                <w:rFonts w:ascii="Calibri" w:hAnsi="Calibri"/>
                <w:b/>
                <w:color w:val="141414"/>
                <w:sz w:val="19"/>
              </w:rPr>
              <w:t>Requirements</w:t>
            </w:r>
          </w:p>
        </w:tc>
        <w:tc>
          <w:tcPr>
            <w:tcW w:type="dxa" w:w="3060"/>
            <w:vAlign w:val="center"/>
            <w:tcMar>
              <w:top w:w="80" w:type="dxa"/>
              <w:bottom w:w="80" w:type="dxa"/>
              <w:start w:w="120" w:type="dxa"/>
              <w:end w:w="120" w:type="dxa"/>
            </w:tcMar>
            <w:shd w:fill="F2F4F7"/>
          </w:tcPr>
          <w:p>
            <w:pPr>
              <w:spacing w:after="0"/>
            </w:pPr>
            <w:r>
              <w:rPr>
                <w:rFonts w:ascii="Calibri" w:hAnsi="Calibri"/>
                <w:b/>
                <w:color w:val="141414"/>
                <w:sz w:val="19"/>
              </w:rPr>
              <w:t>Key Views</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Control Center</w:t>
            </w:r>
          </w:p>
        </w:tc>
        <w:tc>
          <w:tcPr>
            <w:tcW w:type="dxa" w:w="4600"/>
            <w:vAlign w:val="center"/>
            <w:tcMar>
              <w:top w:w="80" w:type="dxa"/>
              <w:bottom w:w="80" w:type="dxa"/>
              <w:start w:w="120" w:type="dxa"/>
              <w:end w:w="120" w:type="dxa"/>
            </w:tcMar>
          </w:tcPr>
          <w:p>
            <w:pPr>
              <w:spacing w:after="0"/>
            </w:pPr>
            <w:r>
              <w:rPr>
                <w:rFonts w:ascii="Calibri" w:hAnsi="Calibri"/>
                <w:color w:val="141414"/>
                <w:sz w:val="19"/>
              </w:rPr>
              <w:t>Create, edit, assign, test, monitor, and report on controls; show connected requirements, assets, policies, evidence, risks, vendors, and AI decisions.</w:t>
            </w:r>
          </w:p>
        </w:tc>
        <w:tc>
          <w:tcPr>
            <w:tcW w:type="dxa" w:w="3060"/>
            <w:vAlign w:val="center"/>
            <w:tcMar>
              <w:top w:w="80" w:type="dxa"/>
              <w:bottom w:w="80" w:type="dxa"/>
              <w:start w:w="120" w:type="dxa"/>
              <w:end w:w="120" w:type="dxa"/>
            </w:tcMar>
          </w:tcPr>
          <w:p>
            <w:pPr>
              <w:spacing w:after="0"/>
            </w:pPr>
            <w:r>
              <w:rPr>
                <w:rFonts w:ascii="Calibri" w:hAnsi="Calibri"/>
                <w:color w:val="141414"/>
                <w:sz w:val="19"/>
              </w:rPr>
              <w:t>Control list, control detail, relationship graph, owner workflow, status history, KPI/KRI cards.</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Framework Mapper</w:t>
            </w:r>
          </w:p>
        </w:tc>
        <w:tc>
          <w:tcPr>
            <w:tcW w:type="dxa" w:w="4600"/>
            <w:vAlign w:val="center"/>
            <w:tcMar>
              <w:top w:w="80" w:type="dxa"/>
              <w:bottom w:w="80" w:type="dxa"/>
              <w:start w:w="120" w:type="dxa"/>
              <w:end w:w="120" w:type="dxa"/>
            </w:tcMar>
          </w:tcPr>
          <w:p>
            <w:pPr>
              <w:spacing w:after="0"/>
            </w:pPr>
            <w:r>
              <w:rPr>
                <w:rFonts w:ascii="Calibri" w:hAnsi="Calibri"/>
                <w:color w:val="141414"/>
                <w:sz w:val="19"/>
              </w:rPr>
              <w:t>Import framework requirements, run semantic matching, propose SATISFIES edges, route low-confidence mappings for review, track coverage and gaps.</w:t>
            </w:r>
          </w:p>
        </w:tc>
        <w:tc>
          <w:tcPr>
            <w:tcW w:type="dxa" w:w="3060"/>
            <w:vAlign w:val="center"/>
            <w:tcMar>
              <w:top w:w="80" w:type="dxa"/>
              <w:bottom w:w="80" w:type="dxa"/>
              <w:start w:w="120" w:type="dxa"/>
              <w:end w:w="120" w:type="dxa"/>
            </w:tcMar>
          </w:tcPr>
          <w:p>
            <w:pPr>
              <w:spacing w:after="0"/>
            </w:pPr>
            <w:r>
              <w:rPr>
                <w:rFonts w:ascii="Calibri" w:hAnsi="Calibri"/>
                <w:color w:val="141414"/>
                <w:sz w:val="19"/>
              </w:rPr>
              <w:t>Framework upload, mapping queue, requirement detail, coverage matrix, approval history.</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Evidence Pipeline</w:t>
            </w:r>
          </w:p>
        </w:tc>
        <w:tc>
          <w:tcPr>
            <w:tcW w:type="dxa" w:w="4600"/>
            <w:vAlign w:val="center"/>
            <w:tcMar>
              <w:top w:w="80" w:type="dxa"/>
              <w:bottom w:w="80" w:type="dxa"/>
              <w:start w:w="120" w:type="dxa"/>
              <w:end w:w="120" w:type="dxa"/>
            </w:tcMar>
          </w:tcPr>
          <w:p>
            <w:pPr>
              <w:spacing w:after="0"/>
            </w:pPr>
            <w:r>
              <w:rPr>
                <w:rFonts w:ascii="Calibri" w:hAnsi="Calibri"/>
                <w:color w:val="141414"/>
                <w:sz w:val="19"/>
              </w:rPr>
              <w:t>Collect, store, dedupe, validate, and reuse evidence across controls, frameworks, audits, and vendors.</w:t>
            </w:r>
          </w:p>
        </w:tc>
        <w:tc>
          <w:tcPr>
            <w:tcW w:type="dxa" w:w="3060"/>
            <w:vAlign w:val="center"/>
            <w:tcMar>
              <w:top w:w="80" w:type="dxa"/>
              <w:bottom w:w="80" w:type="dxa"/>
              <w:start w:w="120" w:type="dxa"/>
              <w:end w:w="120" w:type="dxa"/>
            </w:tcMar>
          </w:tcPr>
          <w:p>
            <w:pPr>
              <w:spacing w:after="0"/>
            </w:pPr>
            <w:r>
              <w:rPr>
                <w:rFonts w:ascii="Calibri" w:hAnsi="Calibri"/>
                <w:color w:val="141414"/>
                <w:sz w:val="19"/>
              </w:rPr>
              <w:t>Evidence library, evidence request workflow, source system trace, validity dates, audit package export.</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FAIR Risk Engine</w:t>
            </w:r>
          </w:p>
        </w:tc>
        <w:tc>
          <w:tcPr>
            <w:tcW w:type="dxa" w:w="4600"/>
            <w:vAlign w:val="center"/>
            <w:tcMar>
              <w:top w:w="80" w:type="dxa"/>
              <w:bottom w:w="80" w:type="dxa"/>
              <w:start w:w="120" w:type="dxa"/>
              <w:end w:w="120" w:type="dxa"/>
            </w:tcMar>
          </w:tcPr>
          <w:p>
            <w:pPr>
              <w:spacing w:after="0"/>
            </w:pPr>
            <w:r>
              <w:rPr>
                <w:rFonts w:ascii="Calibri" w:hAnsi="Calibri"/>
                <w:color w:val="141414"/>
                <w:sz w:val="19"/>
              </w:rPr>
              <w:t>Translate control health into frequency and magnitude assumptions, run Monte Carlo simulations, and show percentile loss outputs.</w:t>
            </w:r>
          </w:p>
        </w:tc>
        <w:tc>
          <w:tcPr>
            <w:tcW w:type="dxa" w:w="3060"/>
            <w:vAlign w:val="center"/>
            <w:tcMar>
              <w:top w:w="80" w:type="dxa"/>
              <w:bottom w:w="80" w:type="dxa"/>
              <w:start w:w="120" w:type="dxa"/>
              <w:end w:w="120" w:type="dxa"/>
            </w:tcMar>
          </w:tcPr>
          <w:p>
            <w:pPr>
              <w:spacing w:after="0"/>
            </w:pPr>
            <w:r>
              <w:rPr>
                <w:rFonts w:ascii="Calibri" w:hAnsi="Calibri"/>
                <w:color w:val="141414"/>
                <w:sz w:val="19"/>
              </w:rPr>
              <w:t>Scenario builder, assumption editor, simulation results, risk appetite alerts, executive dashboard.</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AI Knowledge System</w:t>
            </w:r>
          </w:p>
        </w:tc>
        <w:tc>
          <w:tcPr>
            <w:tcW w:type="dxa" w:w="4600"/>
            <w:vAlign w:val="center"/>
            <w:tcMar>
              <w:top w:w="80" w:type="dxa"/>
              <w:bottom w:w="80" w:type="dxa"/>
              <w:start w:w="120" w:type="dxa"/>
              <w:end w:w="120" w:type="dxa"/>
            </w:tcMar>
          </w:tcPr>
          <w:p>
            <w:pPr>
              <w:spacing w:after="0"/>
            </w:pPr>
            <w:r>
              <w:rPr>
                <w:rFonts w:ascii="Calibri" w:hAnsi="Calibri"/>
                <w:color w:val="141414"/>
                <w:sz w:val="19"/>
              </w:rPr>
              <w:t>Let users query the graph in natural language while enforcing read-only constraints and source-grounded answers.</w:t>
            </w:r>
          </w:p>
        </w:tc>
        <w:tc>
          <w:tcPr>
            <w:tcW w:type="dxa" w:w="3060"/>
            <w:vAlign w:val="center"/>
            <w:tcMar>
              <w:top w:w="80" w:type="dxa"/>
              <w:bottom w:w="80" w:type="dxa"/>
              <w:start w:w="120" w:type="dxa"/>
              <w:end w:w="120" w:type="dxa"/>
            </w:tcMar>
          </w:tcPr>
          <w:p>
            <w:pPr>
              <w:spacing w:after="0"/>
            </w:pPr>
            <w:r>
              <w:rPr>
                <w:rFonts w:ascii="Calibri" w:hAnsi="Calibri"/>
                <w:color w:val="141414"/>
                <w:sz w:val="19"/>
              </w:rPr>
              <w:t>Conversational query, generated query preview for analysts, cited graph paths, answer confidence.</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Third-Party Risk</w:t>
            </w:r>
          </w:p>
        </w:tc>
        <w:tc>
          <w:tcPr>
            <w:tcW w:type="dxa" w:w="4600"/>
            <w:vAlign w:val="center"/>
            <w:tcMar>
              <w:top w:w="80" w:type="dxa"/>
              <w:bottom w:w="80" w:type="dxa"/>
              <w:start w:w="120" w:type="dxa"/>
              <w:end w:w="120" w:type="dxa"/>
            </w:tcMar>
          </w:tcPr>
          <w:p>
            <w:pPr>
              <w:spacing w:after="0"/>
            </w:pPr>
            <w:r>
              <w:rPr>
                <w:rFonts w:ascii="Calibri" w:hAnsi="Calibri"/>
                <w:color w:val="141414"/>
                <w:sz w:val="19"/>
              </w:rPr>
              <w:t>Represent vendors as graph nodes, extract vendor evidence from assessments, connect vendor posture to internal controls and assets.</w:t>
            </w:r>
          </w:p>
        </w:tc>
        <w:tc>
          <w:tcPr>
            <w:tcW w:type="dxa" w:w="3060"/>
            <w:vAlign w:val="center"/>
            <w:tcMar>
              <w:top w:w="80" w:type="dxa"/>
              <w:bottom w:w="80" w:type="dxa"/>
              <w:start w:w="120" w:type="dxa"/>
              <w:end w:w="120" w:type="dxa"/>
            </w:tcMar>
          </w:tcPr>
          <w:p>
            <w:pPr>
              <w:spacing w:after="0"/>
            </w:pPr>
            <w:r>
              <w:rPr>
                <w:rFonts w:ascii="Calibri" w:hAnsi="Calibri"/>
                <w:color w:val="141414"/>
                <w:sz w:val="19"/>
              </w:rPr>
              <w:t>Vendor profile, assessment intake, dependency graph, monitoring alerts, vendor risk rollup.</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Policy and Document Generator</w:t>
            </w:r>
          </w:p>
        </w:tc>
        <w:tc>
          <w:tcPr>
            <w:tcW w:type="dxa" w:w="4600"/>
            <w:vAlign w:val="center"/>
            <w:tcMar>
              <w:top w:w="80" w:type="dxa"/>
              <w:bottom w:w="80" w:type="dxa"/>
              <w:start w:w="120" w:type="dxa"/>
              <w:end w:w="120" w:type="dxa"/>
            </w:tcMar>
          </w:tcPr>
          <w:p>
            <w:pPr>
              <w:spacing w:after="0"/>
            </w:pPr>
            <w:r>
              <w:rPr>
                <w:rFonts w:ascii="Calibri" w:hAnsi="Calibri"/>
                <w:color w:val="141414"/>
                <w:sz w:val="19"/>
              </w:rPr>
              <w:t>Draft policies, SOPs, standards, and audit narratives from control graph context, with analyst review before publication.</w:t>
            </w:r>
          </w:p>
        </w:tc>
        <w:tc>
          <w:tcPr>
            <w:tcW w:type="dxa" w:w="3060"/>
            <w:vAlign w:val="center"/>
            <w:tcMar>
              <w:top w:w="80" w:type="dxa"/>
              <w:bottom w:w="80" w:type="dxa"/>
              <w:start w:w="120" w:type="dxa"/>
              <w:end w:w="120" w:type="dxa"/>
            </w:tcMar>
          </w:tcPr>
          <w:p>
            <w:pPr>
              <w:spacing w:after="0"/>
            </w:pPr>
            <w:r>
              <w:rPr>
                <w:rFonts w:ascii="Calibri" w:hAnsi="Calibri"/>
                <w:color w:val="141414"/>
                <w:sz w:val="19"/>
              </w:rPr>
              <w:t>Template picker, graph scope selector, rich-text draft editor, approval workflow, versioning.</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Remediation Engine</w:t>
            </w:r>
          </w:p>
        </w:tc>
        <w:tc>
          <w:tcPr>
            <w:tcW w:type="dxa" w:w="4600"/>
            <w:vAlign w:val="center"/>
            <w:tcMar>
              <w:top w:w="80" w:type="dxa"/>
              <w:bottom w:w="80" w:type="dxa"/>
              <w:start w:w="120" w:type="dxa"/>
              <w:end w:w="120" w:type="dxa"/>
            </w:tcMar>
          </w:tcPr>
          <w:p>
            <w:pPr>
              <w:spacing w:after="0"/>
            </w:pPr>
            <w:r>
              <w:rPr>
                <w:rFonts w:ascii="Calibri" w:hAnsi="Calibri"/>
                <w:color w:val="141414"/>
                <w:sz w:val="19"/>
              </w:rPr>
              <w:t>Recommend or trigger pre-approved remediation playbooks based on control failure, asset criticality, and policy guardrails.</w:t>
            </w:r>
          </w:p>
        </w:tc>
        <w:tc>
          <w:tcPr>
            <w:tcW w:type="dxa" w:w="3060"/>
            <w:vAlign w:val="center"/>
            <w:tcMar>
              <w:top w:w="80" w:type="dxa"/>
              <w:bottom w:w="80" w:type="dxa"/>
              <w:start w:w="120" w:type="dxa"/>
              <w:end w:w="120" w:type="dxa"/>
            </w:tcMar>
          </w:tcPr>
          <w:p>
            <w:pPr>
              <w:spacing w:after="0"/>
            </w:pPr>
            <w:r>
              <w:rPr>
                <w:rFonts w:ascii="Calibri" w:hAnsi="Calibri"/>
                <w:color w:val="141414"/>
                <w:sz w:val="19"/>
              </w:rPr>
              <w:t>Remediation queue, playbook registry, approval gate, rollback status, post-remediation evidence.</w:t>
            </w:r>
          </w:p>
        </w:tc>
      </w:tr>
      <w:tr>
        <w:tc>
          <w:tcPr>
            <w:tcW w:type="dxa" w:w="1700"/>
            <w:vAlign w:val="center"/>
            <w:tcMar>
              <w:top w:w="80" w:type="dxa"/>
              <w:bottom w:w="80" w:type="dxa"/>
              <w:start w:w="120" w:type="dxa"/>
              <w:end w:w="120" w:type="dxa"/>
            </w:tcMar>
          </w:tcPr>
          <w:p>
            <w:pPr>
              <w:spacing w:after="0"/>
            </w:pPr>
            <w:r>
              <w:rPr>
                <w:rFonts w:ascii="Calibri" w:hAnsi="Calibri"/>
                <w:color w:val="141414"/>
                <w:sz w:val="19"/>
              </w:rPr>
              <w:t>Administration</w:t>
            </w:r>
          </w:p>
        </w:tc>
        <w:tc>
          <w:tcPr>
            <w:tcW w:type="dxa" w:w="4600"/>
            <w:vAlign w:val="center"/>
            <w:tcMar>
              <w:top w:w="80" w:type="dxa"/>
              <w:bottom w:w="80" w:type="dxa"/>
              <w:start w:w="120" w:type="dxa"/>
              <w:end w:w="120" w:type="dxa"/>
            </w:tcMar>
          </w:tcPr>
          <w:p>
            <w:pPr>
              <w:spacing w:after="0"/>
            </w:pPr>
            <w:r>
              <w:rPr>
                <w:rFonts w:ascii="Calibri" w:hAnsi="Calibri"/>
                <w:color w:val="141414"/>
                <w:sz w:val="19"/>
              </w:rPr>
              <w:t>Manage tenants, roles, integrations, guardrails, retention, agent lifecycle, risk appetite settings, and model versions.</w:t>
            </w:r>
          </w:p>
        </w:tc>
        <w:tc>
          <w:tcPr>
            <w:tcW w:type="dxa" w:w="3060"/>
            <w:vAlign w:val="center"/>
            <w:tcMar>
              <w:top w:w="80" w:type="dxa"/>
              <w:bottom w:w="80" w:type="dxa"/>
              <w:start w:w="120" w:type="dxa"/>
              <w:end w:w="120" w:type="dxa"/>
            </w:tcMar>
          </w:tcPr>
          <w:p>
            <w:pPr>
              <w:spacing w:after="0"/>
            </w:pPr>
            <w:r>
              <w:rPr>
                <w:rFonts w:ascii="Calibri" w:hAnsi="Calibri"/>
                <w:color w:val="141414"/>
                <w:sz w:val="19"/>
              </w:rPr>
              <w:t>Settings, integration marketplace, RBAC console, tenant configuration, agent registry.</w:t>
            </w:r>
          </w:p>
        </w:tc>
      </w:tr>
    </w:tbl>
    <w:p>
      <w:pPr>
        <w:spacing w:after="40"/>
      </w:pPr>
    </w:p>
    <w:p>
      <w:pPr>
        <w:pStyle w:val="Heading2"/>
        <w:keepNext/>
        <w:spacing w:before="240" w:after="120"/>
      </w:pPr>
      <w:r>
        <w:rPr>
          <w:rFonts w:ascii="Calibri" w:hAnsi="Calibri"/>
          <w:b/>
          <w:color w:val="2E74B5"/>
          <w:sz w:val="26"/>
        </w:rPr>
        <w:t>5.1 Cross-Module Global Filters</w:t>
      </w:r>
    </w:p>
    <w:p>
      <w:pPr>
        <w:spacing w:after="120" w:line="264" w:lineRule="auto"/>
      </w:pPr>
      <w:r>
        <w:rPr>
          <w:rFonts w:ascii="Calibri" w:hAnsi="Calibri"/>
          <w:color w:val="141414"/>
          <w:sz w:val="22"/>
        </w:rPr>
        <w:t>The UI should preserve context across modules. If a user filters the Control Center to AWS production assets and NIST CSF Protect outcomes, then framework coverage, evidence, risk, and approvals views should inherit that scope unless the user clears it. Global filters should include tenant, framework, business unit, asset type, environment, vendor tier, owner, status, criticality, data classification, and date window.</w:t>
      </w:r>
    </w:p>
    <w:p>
      <w:pPr>
        <w:pStyle w:val="Heading2"/>
        <w:keepNext/>
        <w:spacing w:before="240" w:after="120"/>
      </w:pPr>
      <w:r>
        <w:rPr>
          <w:rFonts w:ascii="Calibri" w:hAnsi="Calibri"/>
          <w:b/>
          <w:color w:val="2E74B5"/>
          <w:sz w:val="26"/>
        </w:rPr>
        <w:t>5.2 Time-to-Value Requirements</w:t>
      </w:r>
    </w:p>
    <w:p>
      <w:pPr>
        <w:spacing w:after="80" w:line="280" w:lineRule="auto"/>
        <w:ind w:left="360" w:hanging="216"/>
      </w:pPr>
      <w:r>
        <w:rPr>
          <w:rFonts w:ascii="Calibri" w:hAnsi="Calibri"/>
          <w:color w:val="141414"/>
          <w:sz w:val="22"/>
        </w:rPr>
        <w:t xml:space="preserve">- </w:t>
      </w:r>
      <w:r>
        <w:rPr>
          <w:rFonts w:ascii="Calibri" w:hAnsi="Calibri"/>
          <w:color w:val="141414"/>
          <w:sz w:val="22"/>
        </w:rPr>
        <w:t>Day 0 onboarding should connect at least one cloud source and one identity source, run discovery, create initial Asset nodes, and populate a starter Control Center.</w:t>
      </w:r>
    </w:p>
    <w:p>
      <w:pPr>
        <w:spacing w:after="80" w:line="280" w:lineRule="auto"/>
        <w:ind w:left="360" w:hanging="216"/>
      </w:pPr>
      <w:r>
        <w:rPr>
          <w:rFonts w:ascii="Calibri" w:hAnsi="Calibri"/>
          <w:color w:val="141414"/>
          <w:sz w:val="22"/>
        </w:rPr>
        <w:t xml:space="preserve">- </w:t>
      </w:r>
      <w:r>
        <w:rPr>
          <w:rFonts w:ascii="Calibri" w:hAnsi="Calibri"/>
          <w:color w:val="141414"/>
          <w:sz w:val="22"/>
        </w:rPr>
        <w:t>The first dashboard should show quick wins: controls automatically validated, controls missing evidence, top degraded assets, and framework requirements with likely coverage.</w:t>
      </w:r>
    </w:p>
    <w:p>
      <w:pPr>
        <w:spacing w:after="80" w:line="280" w:lineRule="auto"/>
        <w:ind w:left="360" w:hanging="216"/>
      </w:pPr>
      <w:r>
        <w:rPr>
          <w:rFonts w:ascii="Calibri" w:hAnsi="Calibri"/>
          <w:color w:val="141414"/>
          <w:sz w:val="22"/>
        </w:rPr>
        <w:t xml:space="preserve">- </w:t>
      </w:r>
      <w:r>
        <w:rPr>
          <w:rFonts w:ascii="Calibri" w:hAnsi="Calibri"/>
          <w:color w:val="141414"/>
          <w:sz w:val="22"/>
        </w:rPr>
        <w:t>Role-specific onboarding should guide system admins through integrations, analysts through mapping approvals, and control owners through evidence tasks.</w:t>
      </w:r>
    </w:p>
    <w:p>
      <w:pPr>
        <w:pStyle w:val="Heading1"/>
        <w:keepNext/>
        <w:spacing w:before="320" w:after="160"/>
      </w:pPr>
      <w:r>
        <w:rPr>
          <w:rFonts w:ascii="Calibri" w:hAnsi="Calibri"/>
          <w:b/>
          <w:color w:val="2E74B5"/>
          <w:sz w:val="32"/>
        </w:rPr>
        <w:t>6. AI Agent Workflows</w:t>
      </w:r>
    </w:p>
    <w:p>
      <w:pPr>
        <w:spacing w:after="120" w:line="264" w:lineRule="auto"/>
      </w:pPr>
      <w:r>
        <w:rPr>
          <w:rFonts w:ascii="Calibri" w:hAnsi="Calibri"/>
          <w:color w:val="141414"/>
          <w:sz w:val="22"/>
        </w:rPr>
        <w:t>Agents are product capabilities with identities, permissions, lifecycle states, audit logs, and failure modes. They should be treated like governed digital actors, not generic background jobs.</w:t>
      </w:r>
    </w:p>
    <w:tbl>
      <w:tblGrid>
        <w:gridCol w:w="2200"/>
        <w:gridCol w:w="2500"/>
        <w:gridCol w:w="3100"/>
        <w:gridCol w:w="1560"/>
      </w:tblGrid>
      <w:tblPr>
        <w:tblStyle w:val="TableGrid"/>
        <w:tblW w:type="dxa" w:w="9360"/>
        <w:tblLayout w:type="fixed"/>
        <w:tblLook w:firstColumn="1" w:firstRow="1" w:lastColumn="0" w:lastRow="0" w:noHBand="0" w:noVBand="1" w:val="04A0"/>
        <w:jc w:val="center"/>
        <w:tblInd w:w="120" w:type="dxa"/>
      </w:tblPr>
      <w:tr>
        <w:tc>
          <w:tcPr>
            <w:tcW w:type="dxa" w:w="2200"/>
            <w:vAlign w:val="center"/>
            <w:tcMar>
              <w:top w:w="80" w:type="dxa"/>
              <w:bottom w:w="80" w:type="dxa"/>
              <w:start w:w="120" w:type="dxa"/>
              <w:end w:w="120" w:type="dxa"/>
            </w:tcMar>
            <w:shd w:fill="F2F4F7"/>
          </w:tcPr>
          <w:p>
            <w:pPr>
              <w:spacing w:after="0"/>
            </w:pPr>
            <w:r>
              <w:rPr>
                <w:rFonts w:ascii="Calibri" w:hAnsi="Calibri"/>
                <w:b/>
                <w:color w:val="141414"/>
                <w:sz w:val="19"/>
              </w:rPr>
              <w:t>Agent</w:t>
            </w:r>
          </w:p>
        </w:tc>
        <w:tc>
          <w:tcPr>
            <w:tcW w:type="dxa" w:w="2500"/>
            <w:vAlign w:val="center"/>
            <w:tcMar>
              <w:top w:w="80" w:type="dxa"/>
              <w:bottom w:w="80" w:type="dxa"/>
              <w:start w:w="120" w:type="dxa"/>
              <w:end w:w="120" w:type="dxa"/>
            </w:tcMar>
            <w:shd w:fill="F2F4F7"/>
          </w:tcPr>
          <w:p>
            <w:pPr>
              <w:spacing w:after="0"/>
            </w:pPr>
            <w:r>
              <w:rPr>
                <w:rFonts w:ascii="Calibri" w:hAnsi="Calibri"/>
                <w:b/>
                <w:color w:val="141414"/>
                <w:sz w:val="19"/>
              </w:rPr>
              <w:t>Trigger</w:t>
            </w:r>
          </w:p>
        </w:tc>
        <w:tc>
          <w:tcPr>
            <w:tcW w:type="dxa" w:w="3100"/>
            <w:vAlign w:val="center"/>
            <w:tcMar>
              <w:top w:w="80" w:type="dxa"/>
              <w:bottom w:w="80" w:type="dxa"/>
              <w:start w:w="120" w:type="dxa"/>
              <w:end w:w="120" w:type="dxa"/>
            </w:tcMar>
            <w:shd w:fill="F2F4F7"/>
          </w:tcPr>
          <w:p>
            <w:pPr>
              <w:spacing w:after="0"/>
            </w:pPr>
            <w:r>
              <w:rPr>
                <w:rFonts w:ascii="Calibri" w:hAnsi="Calibri"/>
                <w:b/>
                <w:color w:val="141414"/>
                <w:sz w:val="19"/>
              </w:rPr>
              <w:t>Allowed Outputs</w:t>
            </w:r>
          </w:p>
        </w:tc>
        <w:tc>
          <w:tcPr>
            <w:tcW w:type="dxa" w:w="1560"/>
            <w:vAlign w:val="center"/>
            <w:tcMar>
              <w:top w:w="80" w:type="dxa"/>
              <w:bottom w:w="80" w:type="dxa"/>
              <w:start w:w="120" w:type="dxa"/>
              <w:end w:w="120" w:type="dxa"/>
            </w:tcMar>
            <w:shd w:fill="F2F4F7"/>
          </w:tcPr>
          <w:p>
            <w:pPr>
              <w:spacing w:after="0"/>
            </w:pPr>
            <w:r>
              <w:rPr>
                <w:rFonts w:ascii="Calibri" w:hAnsi="Calibri"/>
                <w:b/>
                <w:color w:val="141414"/>
                <w:sz w:val="19"/>
              </w:rPr>
              <w:t>Human Gate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Evidence Validation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Validated telemetry, manual upload, scheduled control test</w:t>
            </w:r>
          </w:p>
        </w:tc>
        <w:tc>
          <w:tcPr>
            <w:tcW w:type="dxa" w:w="3100"/>
            <w:vAlign w:val="center"/>
            <w:tcMar>
              <w:top w:w="80" w:type="dxa"/>
              <w:bottom w:w="80" w:type="dxa"/>
              <w:start w:w="120" w:type="dxa"/>
              <w:end w:w="120" w:type="dxa"/>
            </w:tcMar>
          </w:tcPr>
          <w:p>
            <w:pPr>
              <w:spacing w:after="0"/>
            </w:pPr>
            <w:r>
              <w:rPr>
                <w:rFonts w:ascii="Calibri" w:hAnsi="Calibri"/>
                <w:color w:val="141414"/>
                <w:sz w:val="19"/>
              </w:rPr>
              <w:t>Implemented/Degraded/Failed recommendation, PROVED_BY edge proposal, missing evidence summary</w:t>
            </w:r>
          </w:p>
        </w:tc>
        <w:tc>
          <w:tcPr>
            <w:tcW w:type="dxa" w:w="1560"/>
            <w:vAlign w:val="center"/>
            <w:tcMar>
              <w:top w:w="80" w:type="dxa"/>
              <w:bottom w:w="80" w:type="dxa"/>
              <w:start w:w="120" w:type="dxa"/>
              <w:end w:w="120" w:type="dxa"/>
            </w:tcMar>
          </w:tcPr>
          <w:p>
            <w:pPr>
              <w:spacing w:after="0"/>
            </w:pPr>
            <w:r>
              <w:rPr>
                <w:rFonts w:ascii="Calibri" w:hAnsi="Calibri"/>
                <w:color w:val="141414"/>
                <w:sz w:val="19"/>
              </w:rPr>
              <w:t>Required for Tier 1 control failure reversal or low-confidence evidence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Framework Mapping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Framework upload or requirement update</w:t>
            </w:r>
          </w:p>
        </w:tc>
        <w:tc>
          <w:tcPr>
            <w:tcW w:type="dxa" w:w="3100"/>
            <w:vAlign w:val="center"/>
            <w:tcMar>
              <w:top w:w="80" w:type="dxa"/>
              <w:bottom w:w="80" w:type="dxa"/>
              <w:start w:w="120" w:type="dxa"/>
              <w:end w:w="120" w:type="dxa"/>
            </w:tcMar>
          </w:tcPr>
          <w:p>
            <w:pPr>
              <w:spacing w:after="0"/>
            </w:pPr>
            <w:r>
              <w:rPr>
                <w:rFonts w:ascii="Calibri" w:hAnsi="Calibri"/>
                <w:color w:val="141414"/>
                <w:sz w:val="19"/>
              </w:rPr>
              <w:t>Proposed SATISFIES edges with coverage and confidence, gap summary</w:t>
            </w:r>
          </w:p>
        </w:tc>
        <w:tc>
          <w:tcPr>
            <w:tcW w:type="dxa" w:w="1560"/>
            <w:vAlign w:val="center"/>
            <w:tcMar>
              <w:top w:w="80" w:type="dxa"/>
              <w:bottom w:w="80" w:type="dxa"/>
              <w:start w:w="120" w:type="dxa"/>
              <w:end w:w="120" w:type="dxa"/>
            </w:tcMar>
          </w:tcPr>
          <w:p>
            <w:pPr>
              <w:spacing w:after="0"/>
            </w:pPr>
            <w:r>
              <w:rPr>
                <w:rFonts w:ascii="Calibri" w:hAnsi="Calibri"/>
                <w:color w:val="141414"/>
                <w:sz w:val="19"/>
              </w:rPr>
              <w:t>Required for all new mappings below high-confidence threshold and for regulated frameworks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FAIR Risk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Control degraded/failed, asset criticality change, scenario edit, vendor status change</w:t>
            </w:r>
          </w:p>
        </w:tc>
        <w:tc>
          <w:tcPr>
            <w:tcW w:type="dxa" w:w="3100"/>
            <w:vAlign w:val="center"/>
            <w:tcMar>
              <w:top w:w="80" w:type="dxa"/>
              <w:bottom w:w="80" w:type="dxa"/>
              <w:start w:w="120" w:type="dxa"/>
              <w:end w:w="120" w:type="dxa"/>
            </w:tcMar>
          </w:tcPr>
          <w:p>
            <w:pPr>
              <w:spacing w:after="0"/>
            </w:pPr>
            <w:r>
              <w:rPr>
                <w:rFonts w:ascii="Calibri" w:hAnsi="Calibri"/>
                <w:color w:val="141414"/>
                <w:sz w:val="19"/>
              </w:rPr>
              <w:t>Updated LEF/LM assumptions, Monte Carlo results, risk narrative, appetite alert</w:t>
            </w:r>
          </w:p>
        </w:tc>
        <w:tc>
          <w:tcPr>
            <w:tcW w:type="dxa" w:w="1560"/>
            <w:vAlign w:val="center"/>
            <w:tcMar>
              <w:top w:w="80" w:type="dxa"/>
              <w:bottom w:w="80" w:type="dxa"/>
              <w:start w:w="120" w:type="dxa"/>
              <w:end w:w="120" w:type="dxa"/>
            </w:tcMar>
          </w:tcPr>
          <w:p>
            <w:pPr>
              <w:spacing w:after="0"/>
            </w:pPr>
            <w:r>
              <w:rPr>
                <w:rFonts w:ascii="Calibri" w:hAnsi="Calibri"/>
                <w:color w:val="141414"/>
                <w:sz w:val="19"/>
              </w:rPr>
              <w:t>Required before changing board-facing risk acceptance state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Knowledge System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Natural language question</w:t>
            </w:r>
          </w:p>
        </w:tc>
        <w:tc>
          <w:tcPr>
            <w:tcW w:type="dxa" w:w="3100"/>
            <w:vAlign w:val="center"/>
            <w:tcMar>
              <w:top w:w="80" w:type="dxa"/>
              <w:bottom w:w="80" w:type="dxa"/>
              <w:start w:w="120" w:type="dxa"/>
              <w:end w:w="120" w:type="dxa"/>
            </w:tcMar>
          </w:tcPr>
          <w:p>
            <w:pPr>
              <w:spacing w:after="0"/>
            </w:pPr>
            <w:r>
              <w:rPr>
                <w:rFonts w:ascii="Calibri" w:hAnsi="Calibri"/>
                <w:color w:val="141414"/>
                <w:sz w:val="19"/>
              </w:rPr>
              <w:t>Read-only answer with graph path, cited nodes/edges, confidence, query trace</w:t>
            </w:r>
          </w:p>
        </w:tc>
        <w:tc>
          <w:tcPr>
            <w:tcW w:type="dxa" w:w="1560"/>
            <w:vAlign w:val="center"/>
            <w:tcMar>
              <w:top w:w="80" w:type="dxa"/>
              <w:bottom w:w="80" w:type="dxa"/>
              <w:start w:w="120" w:type="dxa"/>
              <w:end w:w="120" w:type="dxa"/>
            </w:tcMar>
          </w:tcPr>
          <w:p>
            <w:pPr>
              <w:spacing w:after="0"/>
            </w:pPr>
            <w:r>
              <w:rPr>
                <w:rFonts w:ascii="Calibri" w:hAnsi="Calibri"/>
                <w:color w:val="141414"/>
                <w:sz w:val="19"/>
              </w:rPr>
              <w:t>No writes allowed</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Third-Party Assessment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Vendor documentation upload or external risk feed event</w:t>
            </w:r>
          </w:p>
        </w:tc>
        <w:tc>
          <w:tcPr>
            <w:tcW w:type="dxa" w:w="3100"/>
            <w:vAlign w:val="center"/>
            <w:tcMar>
              <w:top w:w="80" w:type="dxa"/>
              <w:bottom w:w="80" w:type="dxa"/>
              <w:start w:w="120" w:type="dxa"/>
              <w:end w:w="120" w:type="dxa"/>
            </w:tcMar>
          </w:tcPr>
          <w:p>
            <w:pPr>
              <w:spacing w:after="0"/>
            </w:pPr>
            <w:r>
              <w:rPr>
                <w:rFonts w:ascii="Calibri" w:hAnsi="Calibri"/>
                <w:color w:val="141414"/>
                <w:sz w:val="19"/>
              </w:rPr>
              <w:t>Vendor gap findings, relied-upon control impact, assessment summary</w:t>
            </w:r>
          </w:p>
        </w:tc>
        <w:tc>
          <w:tcPr>
            <w:tcW w:type="dxa" w:w="1560"/>
            <w:vAlign w:val="center"/>
            <w:tcMar>
              <w:top w:w="80" w:type="dxa"/>
              <w:bottom w:w="80" w:type="dxa"/>
              <w:start w:w="120" w:type="dxa"/>
              <w:end w:w="120" w:type="dxa"/>
            </w:tcMar>
          </w:tcPr>
          <w:p>
            <w:pPr>
              <w:spacing w:after="0"/>
            </w:pPr>
            <w:r>
              <w:rPr>
                <w:rFonts w:ascii="Calibri" w:hAnsi="Calibri"/>
                <w:color w:val="141414"/>
                <w:sz w:val="19"/>
              </w:rPr>
              <w:t>Required for vendor tier changes and control degradation based only on unstructured docs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Policy Drafting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User selects document type and graph scope</w:t>
            </w:r>
          </w:p>
        </w:tc>
        <w:tc>
          <w:tcPr>
            <w:tcW w:type="dxa" w:w="3100"/>
            <w:vAlign w:val="center"/>
            <w:tcMar>
              <w:top w:w="80" w:type="dxa"/>
              <w:bottom w:w="80" w:type="dxa"/>
              <w:start w:w="120" w:type="dxa"/>
              <w:end w:w="120" w:type="dxa"/>
            </w:tcMar>
          </w:tcPr>
          <w:p>
            <w:pPr>
              <w:spacing w:after="0"/>
            </w:pPr>
            <w:r>
              <w:rPr>
                <w:rFonts w:ascii="Calibri" w:hAnsi="Calibri"/>
                <w:color w:val="141414"/>
                <w:sz w:val="19"/>
              </w:rPr>
              <w:t>Draft policy/SOP/standard mapped to controls and requirements</w:t>
            </w:r>
          </w:p>
        </w:tc>
        <w:tc>
          <w:tcPr>
            <w:tcW w:type="dxa" w:w="1560"/>
            <w:vAlign w:val="center"/>
            <w:tcMar>
              <w:top w:w="80" w:type="dxa"/>
              <w:bottom w:w="80" w:type="dxa"/>
              <w:start w:w="120" w:type="dxa"/>
              <w:end w:w="120" w:type="dxa"/>
            </w:tcMar>
          </w:tcPr>
          <w:p>
            <w:pPr>
              <w:spacing w:after="0"/>
            </w:pPr>
            <w:r>
              <w:rPr>
                <w:rFonts w:ascii="Calibri" w:hAnsi="Calibri"/>
                <w:color w:val="141414"/>
                <w:sz w:val="19"/>
              </w:rPr>
              <w:t>Publication requires human approval</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Remediation Recommendation Agent</w:t>
            </w:r>
          </w:p>
        </w:tc>
        <w:tc>
          <w:tcPr>
            <w:tcW w:type="dxa" w:w="2500"/>
            <w:vAlign w:val="center"/>
            <w:tcMar>
              <w:top w:w="80" w:type="dxa"/>
              <w:bottom w:w="80" w:type="dxa"/>
              <w:start w:w="120" w:type="dxa"/>
              <w:end w:w="120" w:type="dxa"/>
            </w:tcMar>
          </w:tcPr>
          <w:p>
            <w:pPr>
              <w:spacing w:after="0"/>
            </w:pPr>
            <w:r>
              <w:rPr>
                <w:rFonts w:ascii="Calibri" w:hAnsi="Calibri"/>
                <w:color w:val="141414"/>
                <w:sz w:val="19"/>
              </w:rPr>
              <w:t>Config drift, vulnerability, or failed control</w:t>
            </w:r>
          </w:p>
        </w:tc>
        <w:tc>
          <w:tcPr>
            <w:tcW w:type="dxa" w:w="3100"/>
            <w:vAlign w:val="center"/>
            <w:tcMar>
              <w:top w:w="80" w:type="dxa"/>
              <w:bottom w:w="80" w:type="dxa"/>
              <w:start w:w="120" w:type="dxa"/>
              <w:end w:w="120" w:type="dxa"/>
            </w:tcMar>
          </w:tcPr>
          <w:p>
            <w:pPr>
              <w:spacing w:after="0"/>
            </w:pPr>
            <w:r>
              <w:rPr>
                <w:rFonts w:ascii="Calibri" w:hAnsi="Calibri"/>
                <w:color w:val="141414"/>
                <w:sz w:val="19"/>
              </w:rPr>
              <w:t>Pre-approved playbook recommendation or pending execution request</w:t>
            </w:r>
          </w:p>
        </w:tc>
        <w:tc>
          <w:tcPr>
            <w:tcW w:type="dxa" w:w="1560"/>
            <w:vAlign w:val="center"/>
            <w:tcMar>
              <w:top w:w="80" w:type="dxa"/>
              <w:bottom w:w="80" w:type="dxa"/>
              <w:start w:w="120" w:type="dxa"/>
              <w:end w:w="120" w:type="dxa"/>
            </w:tcMar>
          </w:tcPr>
          <w:p>
            <w:pPr>
              <w:spacing w:after="0"/>
            </w:pPr>
            <w:r>
              <w:rPr>
                <w:rFonts w:ascii="Calibri" w:hAnsi="Calibri"/>
                <w:color w:val="141414"/>
                <w:sz w:val="19"/>
              </w:rPr>
              <w:t>Required for production or mission-critical assets</w:t>
            </w:r>
          </w:p>
        </w:tc>
      </w:tr>
    </w:tbl>
    <w:p>
      <w:pPr>
        <w:spacing w:after="40"/>
      </w:pPr>
    </w:p>
    <w:p>
      <w:pPr>
        <w:pStyle w:val="Heading2"/>
        <w:keepNext/>
        <w:spacing w:before="240" w:after="120"/>
      </w:pPr>
      <w:r>
        <w:rPr>
          <w:rFonts w:ascii="Calibri" w:hAnsi="Calibri"/>
          <w:b/>
          <w:color w:val="2E74B5"/>
          <w:sz w:val="26"/>
        </w:rPr>
        <w:t>6.1 Evidence Validation Workflow</w:t>
      </w:r>
    </w:p>
    <w:p>
      <w:pPr>
        <w:spacing w:after="80" w:line="280" w:lineRule="auto"/>
        <w:ind w:left="504" w:hanging="504"/>
      </w:pPr>
      <w:r>
        <w:rPr>
          <w:rFonts w:ascii="Calibri" w:hAnsi="Calibri"/>
          <w:b/>
          <w:color w:val="141414"/>
          <w:sz w:val="22"/>
        </w:rPr>
        <w:t xml:space="preserve">1. </w:t>
      </w:r>
      <w:r>
        <w:rPr>
          <w:rFonts w:ascii="Calibri" w:hAnsi="Calibri"/>
          <w:color w:val="141414"/>
          <w:sz w:val="22"/>
        </w:rPr>
        <w:t>Retrieve the Control_Context from Neptune, including control requirements, asset-specific edge context, owner, current status, and evidence validity rules.</w:t>
      </w:r>
    </w:p>
    <w:p>
      <w:pPr>
        <w:spacing w:after="80" w:line="280" w:lineRule="auto"/>
        <w:ind w:left="504" w:hanging="504"/>
      </w:pPr>
      <w:r>
        <w:rPr>
          <w:rFonts w:ascii="Calibri" w:hAnsi="Calibri"/>
          <w:b/>
          <w:color w:val="141414"/>
          <w:sz w:val="22"/>
        </w:rPr>
        <w:t xml:space="preserve">2. </w:t>
      </w:r>
      <w:r>
        <w:rPr>
          <w:rFonts w:ascii="Calibri" w:hAnsi="Calibri"/>
          <w:color w:val="141414"/>
          <w:sz w:val="22"/>
        </w:rPr>
        <w:t>Retrieve and normalize the Telemetry_Payload from the validated webhook or manual evidence intake.</w:t>
      </w:r>
    </w:p>
    <w:p>
      <w:pPr>
        <w:spacing w:after="80" w:line="280" w:lineRule="auto"/>
        <w:ind w:left="504" w:hanging="504"/>
      </w:pPr>
      <w:r>
        <w:rPr>
          <w:rFonts w:ascii="Calibri" w:hAnsi="Calibri"/>
          <w:b/>
          <w:color w:val="141414"/>
          <w:sz w:val="22"/>
        </w:rPr>
        <w:t xml:space="preserve">3. </w:t>
      </w:r>
      <w:r>
        <w:rPr>
          <w:rFonts w:ascii="Calibri" w:hAnsi="Calibri"/>
          <w:color w:val="141414"/>
          <w:sz w:val="22"/>
        </w:rPr>
        <w:t>Prompt the Evidence Validation Agent using structured output and deterministic instructions.</w:t>
      </w:r>
    </w:p>
    <w:p>
      <w:pPr>
        <w:spacing w:after="80" w:line="280" w:lineRule="auto"/>
        <w:ind w:left="504" w:hanging="504"/>
      </w:pPr>
      <w:r>
        <w:rPr>
          <w:rFonts w:ascii="Calibri" w:hAnsi="Calibri"/>
          <w:b/>
          <w:color w:val="141414"/>
          <w:sz w:val="22"/>
        </w:rPr>
        <w:t xml:space="preserve">4. </w:t>
      </w:r>
      <w:r>
        <w:rPr>
          <w:rFonts w:ascii="Calibri" w:hAnsi="Calibri"/>
          <w:color w:val="141414"/>
          <w:sz w:val="22"/>
        </w:rPr>
        <w:t>Validate the agent output against JSON schema, confidence thresholds, and allowed actions.</w:t>
      </w:r>
    </w:p>
    <w:p>
      <w:pPr>
        <w:spacing w:after="80" w:line="280" w:lineRule="auto"/>
        <w:ind w:left="504" w:hanging="504"/>
      </w:pPr>
      <w:r>
        <w:rPr>
          <w:rFonts w:ascii="Calibri" w:hAnsi="Calibri"/>
          <w:b/>
          <w:color w:val="141414"/>
          <w:sz w:val="22"/>
        </w:rPr>
        <w:t xml:space="preserve">5. </w:t>
      </w:r>
      <w:r>
        <w:rPr>
          <w:rFonts w:ascii="Calibri" w:hAnsi="Calibri"/>
          <w:color w:val="141414"/>
          <w:sz w:val="22"/>
        </w:rPr>
        <w:t>Write the raw evidence to S3 with Object Lock and versioning, create or update the Evidence node, and create a PROVED_BY edge only if validation passes.</w:t>
      </w:r>
    </w:p>
    <w:p>
      <w:pPr>
        <w:spacing w:after="80" w:line="280" w:lineRule="auto"/>
        <w:ind w:left="504" w:hanging="504"/>
      </w:pPr>
      <w:r>
        <w:rPr>
          <w:rFonts w:ascii="Calibri" w:hAnsi="Calibri"/>
          <w:b/>
          <w:color w:val="141414"/>
          <w:sz w:val="22"/>
        </w:rPr>
        <w:t xml:space="preserve">6. </w:t>
      </w:r>
      <w:r>
        <w:rPr>
          <w:rFonts w:ascii="Calibri" w:hAnsi="Calibri"/>
          <w:color w:val="141414"/>
          <w:sz w:val="22"/>
        </w:rPr>
        <w:t>If evidence is missing or failing, notify the control owner, create a task, and trigger the FAIR Risk Agent when material.</w:t>
      </w:r>
    </w:p>
    <w:p>
      <w:pPr>
        <w:pStyle w:val="Heading2"/>
        <w:keepNext/>
        <w:spacing w:before="240" w:after="120"/>
      </w:pPr>
      <w:r>
        <w:rPr>
          <w:rFonts w:ascii="Calibri" w:hAnsi="Calibri"/>
          <w:b/>
          <w:color w:val="2E74B5"/>
          <w:sz w:val="26"/>
        </w:rPr>
        <w:t>6.2 Framework Mapping Workflow</w:t>
      </w:r>
    </w:p>
    <w:p>
      <w:pPr>
        <w:spacing w:after="80" w:line="280" w:lineRule="auto"/>
        <w:ind w:left="504" w:hanging="504"/>
      </w:pPr>
      <w:r>
        <w:rPr>
          <w:rFonts w:ascii="Calibri" w:hAnsi="Calibri"/>
          <w:b/>
          <w:color w:val="141414"/>
          <w:sz w:val="22"/>
        </w:rPr>
        <w:t xml:space="preserve">1. </w:t>
      </w:r>
      <w:r>
        <w:rPr>
          <w:rFonts w:ascii="Calibri" w:hAnsi="Calibri"/>
          <w:color w:val="141414"/>
          <w:sz w:val="22"/>
        </w:rPr>
        <w:t>Ingest framework requirements as Requirement nodes with framework, version, citation, requirement text, and jurisdiction metadata.</w:t>
      </w:r>
    </w:p>
    <w:p>
      <w:pPr>
        <w:spacing w:after="80" w:line="280" w:lineRule="auto"/>
        <w:ind w:left="504" w:hanging="504"/>
      </w:pPr>
      <w:r>
        <w:rPr>
          <w:rFonts w:ascii="Calibri" w:hAnsi="Calibri"/>
          <w:b/>
          <w:color w:val="141414"/>
          <w:sz w:val="22"/>
        </w:rPr>
        <w:t xml:space="preserve">2. </w:t>
      </w:r>
      <w:r>
        <w:rPr>
          <w:rFonts w:ascii="Calibri" w:hAnsi="Calibri"/>
          <w:color w:val="141414"/>
          <w:sz w:val="22"/>
        </w:rPr>
        <w:t>Embed the requirement text and retrieve top candidate Control IDs from the vector index.</w:t>
      </w:r>
    </w:p>
    <w:p>
      <w:pPr>
        <w:spacing w:after="80" w:line="280" w:lineRule="auto"/>
        <w:ind w:left="504" w:hanging="504"/>
      </w:pPr>
      <w:r>
        <w:rPr>
          <w:rFonts w:ascii="Calibri" w:hAnsi="Calibri"/>
          <w:b/>
          <w:color w:val="141414"/>
          <w:sz w:val="22"/>
        </w:rPr>
        <w:t xml:space="preserve">3. </w:t>
      </w:r>
      <w:r>
        <w:rPr>
          <w:rFonts w:ascii="Calibri" w:hAnsi="Calibri"/>
          <w:color w:val="141414"/>
          <w:sz w:val="22"/>
        </w:rPr>
        <w:t>Hydrate only those candidate controls from Neptune and pass them to the Framework Mapping Agent.</w:t>
      </w:r>
    </w:p>
    <w:p>
      <w:pPr>
        <w:spacing w:after="80" w:line="280" w:lineRule="auto"/>
        <w:ind w:left="504" w:hanging="504"/>
      </w:pPr>
      <w:r>
        <w:rPr>
          <w:rFonts w:ascii="Calibri" w:hAnsi="Calibri"/>
          <w:b/>
          <w:color w:val="141414"/>
          <w:sz w:val="22"/>
        </w:rPr>
        <w:t xml:space="preserve">4. </w:t>
      </w:r>
      <w:r>
        <w:rPr>
          <w:rFonts w:ascii="Calibri" w:hAnsi="Calibri"/>
          <w:color w:val="141414"/>
          <w:sz w:val="22"/>
        </w:rPr>
        <w:t>Create proposed SATISFIES edges in PENDING_APPROVAL with coverage, confidence, and reasoning.</w:t>
      </w:r>
    </w:p>
    <w:p>
      <w:pPr>
        <w:spacing w:after="80" w:line="280" w:lineRule="auto"/>
        <w:ind w:left="504" w:hanging="504"/>
      </w:pPr>
      <w:r>
        <w:rPr>
          <w:rFonts w:ascii="Calibri" w:hAnsi="Calibri"/>
          <w:b/>
          <w:color w:val="141414"/>
          <w:sz w:val="22"/>
        </w:rPr>
        <w:t xml:space="preserve">5. </w:t>
      </w:r>
      <w:r>
        <w:rPr>
          <w:rFonts w:ascii="Calibri" w:hAnsi="Calibri"/>
          <w:color w:val="141414"/>
          <w:sz w:val="22"/>
        </w:rPr>
        <w:t>Route proposals to the Pending Approvals Queue with a side-by-side requirement/control review surface.</w:t>
      </w:r>
    </w:p>
    <w:p>
      <w:pPr>
        <w:spacing w:after="80" w:line="280" w:lineRule="auto"/>
        <w:ind w:left="504" w:hanging="504"/>
      </w:pPr>
      <w:r>
        <w:rPr>
          <w:rFonts w:ascii="Calibri" w:hAnsi="Calibri"/>
          <w:b/>
          <w:color w:val="141414"/>
          <w:sz w:val="22"/>
        </w:rPr>
        <w:t xml:space="preserve">6. </w:t>
      </w:r>
      <w:r>
        <w:rPr>
          <w:rFonts w:ascii="Calibri" w:hAnsi="Calibri"/>
          <w:color w:val="141414"/>
          <w:sz w:val="22"/>
        </w:rPr>
        <w:t>On approval, activate the edge and update framework coverage. On rejection, preserve the rejection rationale for future prompt and retrieval tuning.</w:t>
      </w:r>
    </w:p>
    <w:p>
      <w:pPr>
        <w:pStyle w:val="Heading2"/>
        <w:keepNext/>
        <w:spacing w:before="240" w:after="120"/>
      </w:pPr>
      <w:r>
        <w:rPr>
          <w:rFonts w:ascii="Calibri" w:hAnsi="Calibri"/>
          <w:b/>
          <w:color w:val="2E74B5"/>
          <w:sz w:val="26"/>
        </w:rPr>
        <w:t>6.3 Prompt Contract Pattern</w:t>
      </w:r>
    </w:p>
    <w:tbl>
      <w:tblGrid>
        <w:gridCol w:w="9360"/>
      </w:tblGrid>
      <w:tblPr>
        <w:tblStyle w:val="TableGrid"/>
        <w:tblW w:type="dxa" w:w="9360"/>
        <w:jc w:val="center"/>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8F9FB"/>
          </w:tcPr>
          <w:p>
            <w:pPr>
              <w:spacing w:after="0" w:line="240" w:lineRule="auto"/>
            </w:pPr>
            <w:r>
              <w:rPr>
                <w:rFonts w:ascii="Consolas" w:hAnsi="Consolas"/>
                <w:color w:val="1E1E1E"/>
                <w:sz w:val="17"/>
              </w:rPr>
              <w:t>System prompt pattern:</w:t>
              <w:br/>
              <w:t>ROLE: Define the agent's narrow professional role.</w:t>
              <w:br/>
              <w:t>INSTRUCTIONS: Define the exact input objects and what comparison or analysis is allowed.</w:t>
              <w:br/>
              <w:t>STEPS: Force a repeatable sequence: parse context, parse payload, evaluate, produce output.</w:t>
              <w:br/>
              <w:t>EXPECTATIONS: Forbid hallucinated controls, unsupported assumptions, compensating controls not provided in context, and free-form prose outside JSON.</w:t>
              <w:br/>
              <w:t>OUTPUT: Require strict JSON with IDs, verdict, confidence, reasoning, missing evidence, proposed action, and state.</w:t>
            </w:r>
          </w:p>
        </w:tc>
      </w:tr>
    </w:tbl>
    <w:p>
      <w:pPr>
        <w:pStyle w:val="Heading1"/>
        <w:keepNext/>
        <w:spacing w:before="320" w:after="160"/>
      </w:pPr>
      <w:r>
        <w:rPr>
          <w:rFonts w:ascii="Calibri" w:hAnsi="Calibri"/>
          <w:b/>
          <w:color w:val="2E74B5"/>
          <w:sz w:val="32"/>
        </w:rPr>
        <w:t>7. FAIR Risk and Quantitative Control Health</w:t>
      </w:r>
    </w:p>
    <w:p>
      <w:pPr>
        <w:spacing w:after="120" w:line="264" w:lineRule="auto"/>
      </w:pPr>
      <w:r>
        <w:rPr>
          <w:rFonts w:ascii="Calibri" w:hAnsi="Calibri"/>
          <w:color w:val="141414"/>
          <w:sz w:val="22"/>
        </w:rPr>
        <w:t>Risk should be modeled as scenario-specific, probabilistic, and control-sensitive. The platform should not convert FAIR into a hidden score. It should expose assumptions, ranges, distributions, confidence, and the controls that influence loss event frequency or loss magnitude.</w:t>
      </w:r>
    </w:p>
    <w:p>
      <w:pPr>
        <w:pStyle w:val="Heading2"/>
        <w:keepNext/>
        <w:spacing w:before="240" w:after="120"/>
      </w:pPr>
      <w:r>
        <w:rPr>
          <w:rFonts w:ascii="Calibri" w:hAnsi="Calibri"/>
          <w:b/>
          <w:color w:val="2E74B5"/>
          <w:sz w:val="26"/>
        </w:rPr>
        <w:t>7.1 FAIR Data Model</w:t>
      </w:r>
    </w:p>
    <w:tbl>
      <w:tblGrid>
        <w:gridCol w:w="2100"/>
        <w:gridCol w:w="4100"/>
        <w:gridCol w:w="3160"/>
      </w:tblGrid>
      <w:tblPr>
        <w:tblStyle w:val="TableGrid"/>
        <w:tblW w:type="dxa" w:w="9360"/>
        <w:tblLayout w:type="fixed"/>
        <w:tblLook w:firstColumn="1" w:firstRow="1" w:lastColumn="0" w:lastRow="0" w:noHBand="0" w:noVBand="1" w:val="04A0"/>
        <w:jc w:val="center"/>
        <w:tblInd w:w="120" w:type="dxa"/>
      </w:tblPr>
      <w:tr>
        <w:tc>
          <w:tcPr>
            <w:tcW w:type="dxa" w:w="2100"/>
            <w:vAlign w:val="center"/>
            <w:tcMar>
              <w:top w:w="80" w:type="dxa"/>
              <w:bottom w:w="80" w:type="dxa"/>
              <w:start w:w="120" w:type="dxa"/>
              <w:end w:w="120" w:type="dxa"/>
            </w:tcMar>
            <w:shd w:fill="F2F4F7"/>
          </w:tcPr>
          <w:p>
            <w:pPr>
              <w:spacing w:after="0"/>
            </w:pPr>
            <w:r>
              <w:rPr>
                <w:rFonts w:ascii="Calibri" w:hAnsi="Calibri"/>
                <w:b/>
                <w:color w:val="141414"/>
                <w:sz w:val="19"/>
              </w:rPr>
              <w:t>FAIR Concept</w:t>
            </w:r>
          </w:p>
        </w:tc>
        <w:tc>
          <w:tcPr>
            <w:tcW w:type="dxa" w:w="4100"/>
            <w:vAlign w:val="center"/>
            <w:tcMar>
              <w:top w:w="80" w:type="dxa"/>
              <w:bottom w:w="80" w:type="dxa"/>
              <w:start w:w="120" w:type="dxa"/>
              <w:end w:w="120" w:type="dxa"/>
            </w:tcMar>
            <w:shd w:fill="F2F4F7"/>
          </w:tcPr>
          <w:p>
            <w:pPr>
              <w:spacing w:after="0"/>
            </w:pPr>
            <w:r>
              <w:rPr>
                <w:rFonts w:ascii="Calibri" w:hAnsi="Calibri"/>
                <w:b/>
                <w:color w:val="141414"/>
                <w:sz w:val="19"/>
              </w:rPr>
              <w:t>Platform Representation</w:t>
            </w:r>
          </w:p>
        </w:tc>
        <w:tc>
          <w:tcPr>
            <w:tcW w:type="dxa" w:w="3160"/>
            <w:vAlign w:val="center"/>
            <w:tcMar>
              <w:top w:w="80" w:type="dxa"/>
              <w:bottom w:w="80" w:type="dxa"/>
              <w:start w:w="120" w:type="dxa"/>
              <w:end w:w="120" w:type="dxa"/>
            </w:tcMar>
            <w:shd w:fill="F2F4F7"/>
          </w:tcPr>
          <w:p>
            <w:pPr>
              <w:spacing w:after="0"/>
            </w:pPr>
            <w:r>
              <w:rPr>
                <w:rFonts w:ascii="Calibri" w:hAnsi="Calibri"/>
                <w:b/>
                <w:color w:val="141414"/>
                <w:sz w:val="19"/>
              </w:rPr>
              <w:t>Data Sources</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Loss Event Frequency</w:t>
            </w:r>
          </w:p>
        </w:tc>
        <w:tc>
          <w:tcPr>
            <w:tcW w:type="dxa" w:w="4100"/>
            <w:vAlign w:val="center"/>
            <w:tcMar>
              <w:top w:w="80" w:type="dxa"/>
              <w:bottom w:w="80" w:type="dxa"/>
              <w:start w:w="120" w:type="dxa"/>
              <w:end w:w="120" w:type="dxa"/>
            </w:tcMar>
          </w:tcPr>
          <w:p>
            <w:pPr>
              <w:spacing w:after="0"/>
            </w:pPr>
            <w:r>
              <w:rPr>
                <w:rFonts w:ascii="Calibri" w:hAnsi="Calibri"/>
                <w:color w:val="141414"/>
                <w:sz w:val="19"/>
              </w:rPr>
              <w:t>Scenario property derived from threat frequency and susceptibility/resistance strength</w:t>
            </w:r>
          </w:p>
        </w:tc>
        <w:tc>
          <w:tcPr>
            <w:tcW w:type="dxa" w:w="3160"/>
            <w:vAlign w:val="center"/>
            <w:tcMar>
              <w:top w:w="80" w:type="dxa"/>
              <w:bottom w:w="80" w:type="dxa"/>
              <w:start w:w="120" w:type="dxa"/>
              <w:end w:w="120" w:type="dxa"/>
            </w:tcMar>
          </w:tcPr>
          <w:p>
            <w:pPr>
              <w:spacing w:after="0"/>
            </w:pPr>
            <w:r>
              <w:rPr>
                <w:rFonts w:ascii="Calibri" w:hAnsi="Calibri"/>
                <w:color w:val="141414"/>
                <w:sz w:val="19"/>
              </w:rPr>
              <w:t>Threat intel, SIEM, vulnerability scanners, historical incidents, control performance</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Loss Magnitude</w:t>
            </w:r>
          </w:p>
        </w:tc>
        <w:tc>
          <w:tcPr>
            <w:tcW w:type="dxa" w:w="4100"/>
            <w:vAlign w:val="center"/>
            <w:tcMar>
              <w:top w:w="80" w:type="dxa"/>
              <w:bottom w:w="80" w:type="dxa"/>
              <w:start w:w="120" w:type="dxa"/>
              <w:end w:w="120" w:type="dxa"/>
            </w:tcMar>
          </w:tcPr>
          <w:p>
            <w:pPr>
              <w:spacing w:after="0"/>
            </w:pPr>
            <w:r>
              <w:rPr>
                <w:rFonts w:ascii="Calibri" w:hAnsi="Calibri"/>
                <w:color w:val="141414"/>
                <w:sz w:val="19"/>
              </w:rPr>
              <w:t>Range distribution across primary and secondary loss categories</w:t>
            </w:r>
          </w:p>
        </w:tc>
        <w:tc>
          <w:tcPr>
            <w:tcW w:type="dxa" w:w="3160"/>
            <w:vAlign w:val="center"/>
            <w:tcMar>
              <w:top w:w="80" w:type="dxa"/>
              <w:bottom w:w="80" w:type="dxa"/>
              <w:start w:w="120" w:type="dxa"/>
              <w:end w:w="120" w:type="dxa"/>
            </w:tcMar>
          </w:tcPr>
          <w:p>
            <w:pPr>
              <w:spacing w:after="0"/>
            </w:pPr>
            <w:r>
              <w:rPr>
                <w:rFonts w:ascii="Calibri" w:hAnsi="Calibri"/>
                <w:color w:val="141414"/>
                <w:sz w:val="19"/>
              </w:rPr>
              <w:t>Finance inputs, incident response cost models, legal/regulatory estimates, downtime estimates, customer/reputation assumptions</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Control Effect</w:t>
            </w:r>
          </w:p>
        </w:tc>
        <w:tc>
          <w:tcPr>
            <w:tcW w:type="dxa" w:w="4100"/>
            <w:vAlign w:val="center"/>
            <w:tcMar>
              <w:top w:w="80" w:type="dxa"/>
              <w:bottom w:w="80" w:type="dxa"/>
              <w:start w:w="120" w:type="dxa"/>
              <w:end w:w="120" w:type="dxa"/>
            </w:tcMar>
          </w:tcPr>
          <w:p>
            <w:pPr>
              <w:spacing w:after="0"/>
            </w:pPr>
            <w:r>
              <w:rPr>
                <w:rFonts w:ascii="Calibri" w:hAnsi="Calibri"/>
                <w:color w:val="141414"/>
                <w:sz w:val="19"/>
              </w:rPr>
              <w:t>MITIGATES edge properties that describe how a control changes frequency or magnitude</w:t>
            </w:r>
          </w:p>
        </w:tc>
        <w:tc>
          <w:tcPr>
            <w:tcW w:type="dxa" w:w="3160"/>
            <w:vAlign w:val="center"/>
            <w:tcMar>
              <w:top w:w="80" w:type="dxa"/>
              <w:bottom w:w="80" w:type="dxa"/>
              <w:start w:w="120" w:type="dxa"/>
              <w:end w:w="120" w:type="dxa"/>
            </w:tcMar>
          </w:tcPr>
          <w:p>
            <w:pPr>
              <w:spacing w:after="0"/>
            </w:pPr>
            <w:r>
              <w:rPr>
                <w:rFonts w:ascii="Calibri" w:hAnsi="Calibri"/>
                <w:color w:val="141414"/>
                <w:sz w:val="19"/>
              </w:rPr>
              <w:t>Control owner input, historical effectiveness, AI-assisted scenario analysis, analyst approval</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Uncertainty</w:t>
            </w:r>
          </w:p>
        </w:tc>
        <w:tc>
          <w:tcPr>
            <w:tcW w:type="dxa" w:w="4100"/>
            <w:vAlign w:val="center"/>
            <w:tcMar>
              <w:top w:w="80" w:type="dxa"/>
              <w:bottom w:w="80" w:type="dxa"/>
              <w:start w:w="120" w:type="dxa"/>
              <w:end w:w="120" w:type="dxa"/>
            </w:tcMar>
          </w:tcPr>
          <w:p>
            <w:pPr>
              <w:spacing w:after="0"/>
            </w:pPr>
            <w:r>
              <w:rPr>
                <w:rFonts w:ascii="Calibri" w:hAnsi="Calibri"/>
                <w:color w:val="141414"/>
                <w:sz w:val="19"/>
              </w:rPr>
              <w:t>Min/most-likely/max or distribution parameters</w:t>
            </w:r>
          </w:p>
        </w:tc>
        <w:tc>
          <w:tcPr>
            <w:tcW w:type="dxa" w:w="3160"/>
            <w:vAlign w:val="center"/>
            <w:tcMar>
              <w:top w:w="80" w:type="dxa"/>
              <w:bottom w:w="80" w:type="dxa"/>
              <w:start w:w="120" w:type="dxa"/>
              <w:end w:w="120" w:type="dxa"/>
            </w:tcMar>
          </w:tcPr>
          <w:p>
            <w:pPr>
              <w:spacing w:after="0"/>
            </w:pPr>
            <w:r>
              <w:rPr>
                <w:rFonts w:ascii="Calibri" w:hAnsi="Calibri"/>
                <w:color w:val="141414"/>
                <w:sz w:val="19"/>
              </w:rPr>
              <w:t>Subject matter estimates, telemetry ranges, sensitivity analysis</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Output</w:t>
            </w:r>
          </w:p>
        </w:tc>
        <w:tc>
          <w:tcPr>
            <w:tcW w:type="dxa" w:w="4100"/>
            <w:vAlign w:val="center"/>
            <w:tcMar>
              <w:top w:w="80" w:type="dxa"/>
              <w:bottom w:w="80" w:type="dxa"/>
              <w:start w:w="120" w:type="dxa"/>
              <w:end w:w="120" w:type="dxa"/>
            </w:tcMar>
          </w:tcPr>
          <w:p>
            <w:pPr>
              <w:spacing w:after="0"/>
            </w:pPr>
            <w:r>
              <w:rPr>
                <w:rFonts w:ascii="Calibri" w:hAnsi="Calibri"/>
                <w:color w:val="141414"/>
                <w:sz w:val="19"/>
              </w:rPr>
              <w:t>ALE percentiles and narrative explanation</w:t>
            </w:r>
          </w:p>
        </w:tc>
        <w:tc>
          <w:tcPr>
            <w:tcW w:type="dxa" w:w="3160"/>
            <w:vAlign w:val="center"/>
            <w:tcMar>
              <w:top w:w="80" w:type="dxa"/>
              <w:bottom w:w="80" w:type="dxa"/>
              <w:start w:w="120" w:type="dxa"/>
              <w:end w:w="120" w:type="dxa"/>
            </w:tcMar>
          </w:tcPr>
          <w:p>
            <w:pPr>
              <w:spacing w:after="0"/>
            </w:pPr>
            <w:r>
              <w:rPr>
                <w:rFonts w:ascii="Calibri" w:hAnsi="Calibri"/>
                <w:color w:val="141414"/>
                <w:sz w:val="19"/>
              </w:rPr>
              <w:t>Monte Carlo simulation microservice</w:t>
            </w:r>
          </w:p>
        </w:tc>
      </w:tr>
    </w:tbl>
    <w:p>
      <w:pPr>
        <w:spacing w:after="40"/>
      </w:pPr>
    </w:p>
    <w:p>
      <w:pPr>
        <w:pStyle w:val="Heading2"/>
        <w:keepNext/>
        <w:spacing w:before="240" w:after="120"/>
      </w:pPr>
      <w:r>
        <w:rPr>
          <w:rFonts w:ascii="Calibri" w:hAnsi="Calibri"/>
          <w:b/>
          <w:color w:val="2E74B5"/>
          <w:sz w:val="26"/>
        </w:rPr>
        <w:t>7.2 Monte Carlo Simulation Requirements</w:t>
      </w:r>
    </w:p>
    <w:p>
      <w:pPr>
        <w:spacing w:after="80" w:line="280" w:lineRule="auto"/>
        <w:ind w:left="360" w:hanging="216"/>
      </w:pPr>
      <w:r>
        <w:rPr>
          <w:rFonts w:ascii="Calibri" w:hAnsi="Calibri"/>
          <w:color w:val="141414"/>
          <w:sz w:val="22"/>
        </w:rPr>
        <w:t xml:space="preserve">- </w:t>
      </w:r>
      <w:r>
        <w:rPr>
          <w:rFonts w:ascii="Calibri" w:hAnsi="Calibri"/>
          <w:color w:val="141414"/>
          <w:sz w:val="22"/>
        </w:rPr>
        <w:t>Support at least 10,000 simulation iterations per scenario, configurable by tenant and scenario materiality.</w:t>
      </w:r>
    </w:p>
    <w:p>
      <w:pPr>
        <w:spacing w:after="80" w:line="280" w:lineRule="auto"/>
        <w:ind w:left="360" w:hanging="216"/>
      </w:pPr>
      <w:r>
        <w:rPr>
          <w:rFonts w:ascii="Calibri" w:hAnsi="Calibri"/>
          <w:color w:val="141414"/>
          <w:sz w:val="22"/>
        </w:rPr>
        <w:t xml:space="preserve">- </w:t>
      </w:r>
      <w:r>
        <w:rPr>
          <w:rFonts w:ascii="Calibri" w:hAnsi="Calibri"/>
          <w:color w:val="141414"/>
          <w:sz w:val="22"/>
        </w:rPr>
        <w:t>Return P10, P50, P90, expected value, probability of exceeding appetite, and sensitivity drivers.</w:t>
      </w:r>
    </w:p>
    <w:p>
      <w:pPr>
        <w:spacing w:after="80" w:line="280" w:lineRule="auto"/>
        <w:ind w:left="360" w:hanging="216"/>
      </w:pPr>
      <w:r>
        <w:rPr>
          <w:rFonts w:ascii="Calibri" w:hAnsi="Calibri"/>
          <w:color w:val="141414"/>
          <w:sz w:val="22"/>
        </w:rPr>
        <w:t xml:space="preserve">- </w:t>
      </w:r>
      <w:r>
        <w:rPr>
          <w:rFonts w:ascii="Calibri" w:hAnsi="Calibri"/>
          <w:color w:val="141414"/>
          <w:sz w:val="22"/>
        </w:rPr>
        <w:t>Store the exact assumption set used for each run so results are reproducible.</w:t>
      </w:r>
    </w:p>
    <w:p>
      <w:pPr>
        <w:spacing w:after="80" w:line="280" w:lineRule="auto"/>
        <w:ind w:left="360" w:hanging="216"/>
      </w:pPr>
      <w:r>
        <w:rPr>
          <w:rFonts w:ascii="Calibri" w:hAnsi="Calibri"/>
          <w:color w:val="141414"/>
          <w:sz w:val="22"/>
        </w:rPr>
        <w:t xml:space="preserve">- </w:t>
      </w:r>
      <w:r>
        <w:rPr>
          <w:rFonts w:ascii="Calibri" w:hAnsi="Calibri"/>
          <w:color w:val="141414"/>
          <w:sz w:val="22"/>
        </w:rPr>
        <w:t>Trigger re-runs when material control health, vendor status, vulnerability state, asset criticality, or threat telemetry changes.</w:t>
      </w:r>
    </w:p>
    <w:p>
      <w:pPr>
        <w:spacing w:after="80" w:line="280" w:lineRule="auto"/>
        <w:ind w:left="360" w:hanging="216"/>
      </w:pPr>
      <w:r>
        <w:rPr>
          <w:rFonts w:ascii="Calibri" w:hAnsi="Calibri"/>
          <w:color w:val="141414"/>
          <w:sz w:val="22"/>
        </w:rPr>
        <w:t xml:space="preserve">- </w:t>
      </w:r>
      <w:r>
        <w:rPr>
          <w:rFonts w:ascii="Calibri" w:hAnsi="Calibri"/>
          <w:color w:val="141414"/>
          <w:sz w:val="22"/>
        </w:rPr>
        <w:t>Use the AI agent for scenario narrative, assumption translation, and stakeholder explanation, not as the mathematical simulation engine.</w:t>
      </w:r>
    </w:p>
    <w:p>
      <w:pPr>
        <w:pStyle w:val="Heading2"/>
        <w:keepNext/>
        <w:spacing w:before="240" w:after="120"/>
      </w:pPr>
      <w:r>
        <w:rPr>
          <w:rFonts w:ascii="Calibri" w:hAnsi="Calibri"/>
          <w:b/>
          <w:color w:val="2E74B5"/>
          <w:sz w:val="26"/>
        </w:rPr>
        <w:t>7.3 Risk Dashboard Requirements</w:t>
      </w:r>
    </w:p>
    <w:p>
      <w:pPr>
        <w:spacing w:after="120" w:line="264" w:lineRule="auto"/>
      </w:pPr>
      <w:r>
        <w:rPr>
          <w:rFonts w:ascii="Calibri" w:hAnsi="Calibri"/>
          <w:color w:val="141414"/>
          <w:sz w:val="22"/>
        </w:rPr>
        <w:t>The executive view should show top scenarios by P90 exposure, control failures with material effects, trend in aggregate control health, risk appetite breaches, and the graph path from scenario to control to evidence. Analyst views should expose assumptions and allow controlled edits with approval history.</w:t>
      </w:r>
    </w:p>
    <w:p>
      <w:pPr>
        <w:pStyle w:val="Heading1"/>
        <w:keepNext/>
        <w:spacing w:before="320" w:after="160"/>
      </w:pPr>
      <w:r>
        <w:rPr>
          <w:rFonts w:ascii="Calibri" w:hAnsi="Calibri"/>
          <w:b/>
          <w:color w:val="2E74B5"/>
          <w:sz w:val="32"/>
        </w:rPr>
        <w:t>8. API, Evidence, and Integration Architecture</w:t>
      </w:r>
    </w:p>
    <w:p>
      <w:pPr>
        <w:pStyle w:val="Heading2"/>
        <w:keepNext/>
        <w:spacing w:before="240" w:after="120"/>
      </w:pPr>
      <w:r>
        <w:rPr>
          <w:rFonts w:ascii="Calibri" w:hAnsi="Calibri"/>
          <w:b/>
          <w:color w:val="2E74B5"/>
          <w:sz w:val="26"/>
        </w:rPr>
        <w:t>8.1 Common Telemetry Envelope</w:t>
      </w:r>
    </w:p>
    <w:tbl>
      <w:tblGrid>
        <w:gridCol w:w="9360"/>
      </w:tblGrid>
      <w:tblPr>
        <w:tblStyle w:val="TableGrid"/>
        <w:tblW w:type="dxa" w:w="9360"/>
        <w:jc w:val="center"/>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8F9FB"/>
          </w:tcPr>
          <w:p>
            <w:pPr>
              <w:spacing w:after="0" w:line="240" w:lineRule="auto"/>
            </w:pPr>
            <w:r>
              <w:rPr>
                <w:rFonts w:ascii="Consolas" w:hAnsi="Consolas"/>
                <w:color w:val="1E1E1E"/>
                <w:sz w:val="17"/>
              </w:rPr>
              <w:t>{</w:t>
              <w:br/>
              <w:t xml:space="preserve">  "event_id": "uuid",</w:t>
              <w:br/>
              <w:t xml:space="preserve">  "timestamp": "2026-07-30T12:00:00Z",</w:t>
              <w:br/>
              <w:t xml:space="preserve">  "tenant_id": "tenant_123",</w:t>
              <w:br/>
              <w:t xml:space="preserve">  "source_system": "AWS_SecurityHub",</w:t>
              <w:br/>
              <w:t xml:space="preserve">  "event_type": "Config_Drift",</w:t>
              <w:br/>
              <w:t xml:space="preserve">  "signature_version": "v1",</w:t>
              <w:br/>
              <w:t xml:space="preserve">  "payload": {}</w:t>
              <w:br/>
              <w:t>}</w:t>
            </w:r>
          </w:p>
        </w:tc>
      </w:tr>
    </w:tbl>
    <w:p>
      <w:pPr>
        <w:spacing w:after="120" w:line="264" w:lineRule="auto"/>
      </w:pPr>
      <w:r>
        <w:rPr>
          <w:rFonts w:ascii="Calibri" w:hAnsi="Calibri"/>
          <w:color w:val="141414"/>
          <w:sz w:val="22"/>
        </w:rPr>
        <w:t>Every integration should normalize into a common envelope before agent evaluation. The API must verify HMAC signatures, reject stale timestamps, enforce idempotency on event_id, validate payload schema, and store the raw event before producing graph mutations.</w:t>
      </w:r>
    </w:p>
    <w:p>
      <w:pPr>
        <w:pStyle w:val="Heading2"/>
        <w:keepNext/>
        <w:spacing w:before="240" w:after="120"/>
      </w:pPr>
      <w:r>
        <w:rPr>
          <w:rFonts w:ascii="Calibri" w:hAnsi="Calibri"/>
          <w:b/>
          <w:color w:val="2E74B5"/>
          <w:sz w:val="26"/>
        </w:rPr>
        <w:t>8.2 Integration Prioritization</w:t>
      </w:r>
    </w:p>
    <w:tbl>
      <w:tblGrid>
        <w:gridCol w:w="900"/>
        <w:gridCol w:w="2500"/>
        <w:gridCol w:w="3300"/>
        <w:gridCol w:w="2660"/>
      </w:tblGrid>
      <w:tblPr>
        <w:tblStyle w:val="TableGrid"/>
        <w:tblW w:type="dxa" w:w="9360"/>
        <w:tblLayout w:type="fixed"/>
        <w:tblLook w:firstColumn="1" w:firstRow="1" w:lastColumn="0" w:lastRow="0" w:noHBand="0" w:noVBand="1" w:val="04A0"/>
        <w:jc w:val="center"/>
        <w:tblInd w:w="120" w:type="dxa"/>
      </w:tblPr>
      <w:tr>
        <w:tc>
          <w:tcPr>
            <w:tcW w:type="dxa" w:w="900"/>
            <w:vAlign w:val="center"/>
            <w:tcMar>
              <w:top w:w="80" w:type="dxa"/>
              <w:bottom w:w="80" w:type="dxa"/>
              <w:start w:w="120" w:type="dxa"/>
              <w:end w:w="120" w:type="dxa"/>
            </w:tcMar>
            <w:shd w:fill="F2F4F7"/>
          </w:tcPr>
          <w:p>
            <w:pPr>
              <w:spacing w:after="0"/>
            </w:pPr>
            <w:r>
              <w:rPr>
                <w:rFonts w:ascii="Calibri" w:hAnsi="Calibri"/>
                <w:b/>
                <w:color w:val="141414"/>
                <w:sz w:val="19"/>
              </w:rPr>
              <w:t>Priority</w:t>
            </w:r>
          </w:p>
        </w:tc>
        <w:tc>
          <w:tcPr>
            <w:tcW w:type="dxa" w:w="2500"/>
            <w:vAlign w:val="center"/>
            <w:tcMar>
              <w:top w:w="80" w:type="dxa"/>
              <w:bottom w:w="80" w:type="dxa"/>
              <w:start w:w="120" w:type="dxa"/>
              <w:end w:w="120" w:type="dxa"/>
            </w:tcMar>
            <w:shd w:fill="F2F4F7"/>
          </w:tcPr>
          <w:p>
            <w:pPr>
              <w:spacing w:after="0"/>
            </w:pPr>
            <w:r>
              <w:rPr>
                <w:rFonts w:ascii="Calibri" w:hAnsi="Calibri"/>
                <w:b/>
                <w:color w:val="141414"/>
                <w:sz w:val="19"/>
              </w:rPr>
              <w:t>Integration Category</w:t>
            </w:r>
          </w:p>
        </w:tc>
        <w:tc>
          <w:tcPr>
            <w:tcW w:type="dxa" w:w="3300"/>
            <w:vAlign w:val="center"/>
            <w:tcMar>
              <w:top w:w="80" w:type="dxa"/>
              <w:bottom w:w="80" w:type="dxa"/>
              <w:start w:w="120" w:type="dxa"/>
              <w:end w:w="120" w:type="dxa"/>
            </w:tcMar>
            <w:shd w:fill="F2F4F7"/>
          </w:tcPr>
          <w:p>
            <w:pPr>
              <w:spacing w:after="0"/>
            </w:pPr>
            <w:r>
              <w:rPr>
                <w:rFonts w:ascii="Calibri" w:hAnsi="Calibri"/>
                <w:b/>
                <w:color w:val="141414"/>
                <w:sz w:val="19"/>
              </w:rPr>
              <w:t>Why It Comes First</w:t>
            </w:r>
          </w:p>
        </w:tc>
        <w:tc>
          <w:tcPr>
            <w:tcW w:type="dxa" w:w="2660"/>
            <w:vAlign w:val="center"/>
            <w:tcMar>
              <w:top w:w="80" w:type="dxa"/>
              <w:bottom w:w="80" w:type="dxa"/>
              <w:start w:w="120" w:type="dxa"/>
              <w:end w:w="120" w:type="dxa"/>
            </w:tcMar>
            <w:shd w:fill="F2F4F7"/>
          </w:tcPr>
          <w:p>
            <w:pPr>
              <w:spacing w:after="0"/>
            </w:pPr>
            <w:r>
              <w:rPr>
                <w:rFonts w:ascii="Calibri" w:hAnsi="Calibri"/>
                <w:b/>
                <w:color w:val="141414"/>
                <w:sz w:val="19"/>
              </w:rPr>
              <w:t>Initial Targets</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1</w:t>
            </w:r>
          </w:p>
        </w:tc>
        <w:tc>
          <w:tcPr>
            <w:tcW w:type="dxa" w:w="2500"/>
            <w:vAlign w:val="center"/>
            <w:tcMar>
              <w:top w:w="80" w:type="dxa"/>
              <w:bottom w:w="80" w:type="dxa"/>
              <w:start w:w="120" w:type="dxa"/>
              <w:end w:w="120" w:type="dxa"/>
            </w:tcMar>
          </w:tcPr>
          <w:p>
            <w:pPr>
              <w:spacing w:after="0"/>
            </w:pPr>
            <w:r>
              <w:rPr>
                <w:rFonts w:ascii="Calibri" w:hAnsi="Calibri"/>
                <w:color w:val="141414"/>
                <w:sz w:val="19"/>
              </w:rPr>
              <w:t>Cloud posture and asset discovery</w:t>
            </w:r>
          </w:p>
        </w:tc>
        <w:tc>
          <w:tcPr>
            <w:tcW w:type="dxa" w:w="3300"/>
            <w:vAlign w:val="center"/>
            <w:tcMar>
              <w:top w:w="80" w:type="dxa"/>
              <w:bottom w:w="80" w:type="dxa"/>
              <w:start w:w="120" w:type="dxa"/>
              <w:end w:w="120" w:type="dxa"/>
            </w:tcMar>
          </w:tcPr>
          <w:p>
            <w:pPr>
              <w:spacing w:after="0"/>
            </w:pPr>
            <w:r>
              <w:rPr>
                <w:rFonts w:ascii="Calibri" w:hAnsi="Calibri"/>
                <w:color w:val="141414"/>
                <w:sz w:val="19"/>
              </w:rPr>
              <w:t>Creates the asset graph and high-volume evidence baseline</w:t>
            </w:r>
          </w:p>
        </w:tc>
        <w:tc>
          <w:tcPr>
            <w:tcW w:type="dxa" w:w="2660"/>
            <w:vAlign w:val="center"/>
            <w:tcMar>
              <w:top w:w="80" w:type="dxa"/>
              <w:bottom w:w="80" w:type="dxa"/>
              <w:start w:w="120" w:type="dxa"/>
              <w:end w:w="120" w:type="dxa"/>
            </w:tcMar>
          </w:tcPr>
          <w:p>
            <w:pPr>
              <w:spacing w:after="0"/>
            </w:pPr>
            <w:r>
              <w:rPr>
                <w:rFonts w:ascii="Calibri" w:hAnsi="Calibri"/>
                <w:color w:val="141414"/>
                <w:sz w:val="19"/>
              </w:rPr>
              <w:t>AWS Security Hub, AWS Config, CloudTrail, IAM Access Analyzer</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2</w:t>
            </w:r>
          </w:p>
        </w:tc>
        <w:tc>
          <w:tcPr>
            <w:tcW w:type="dxa" w:w="2500"/>
            <w:vAlign w:val="center"/>
            <w:tcMar>
              <w:top w:w="80" w:type="dxa"/>
              <w:bottom w:w="80" w:type="dxa"/>
              <w:start w:w="120" w:type="dxa"/>
              <w:end w:w="120" w:type="dxa"/>
            </w:tcMar>
          </w:tcPr>
          <w:p>
            <w:pPr>
              <w:spacing w:after="0"/>
            </w:pPr>
            <w:r>
              <w:rPr>
                <w:rFonts w:ascii="Calibri" w:hAnsi="Calibri"/>
                <w:color w:val="141414"/>
                <w:sz w:val="19"/>
              </w:rPr>
              <w:t>Identity and access management</w:t>
            </w:r>
          </w:p>
        </w:tc>
        <w:tc>
          <w:tcPr>
            <w:tcW w:type="dxa" w:w="3300"/>
            <w:vAlign w:val="center"/>
            <w:tcMar>
              <w:top w:w="80" w:type="dxa"/>
              <w:bottom w:w="80" w:type="dxa"/>
              <w:start w:w="120" w:type="dxa"/>
              <w:end w:w="120" w:type="dxa"/>
            </w:tcMar>
          </w:tcPr>
          <w:p>
            <w:pPr>
              <w:spacing w:after="0"/>
            </w:pPr>
            <w:r>
              <w:rPr>
                <w:rFonts w:ascii="Calibri" w:hAnsi="Calibri"/>
                <w:color w:val="141414"/>
                <w:sz w:val="19"/>
              </w:rPr>
              <w:t>Access controls are heavily audited and tie to many frameworks</w:t>
            </w:r>
          </w:p>
        </w:tc>
        <w:tc>
          <w:tcPr>
            <w:tcW w:type="dxa" w:w="2660"/>
            <w:vAlign w:val="center"/>
            <w:tcMar>
              <w:top w:w="80" w:type="dxa"/>
              <w:bottom w:w="80" w:type="dxa"/>
              <w:start w:w="120" w:type="dxa"/>
              <w:end w:w="120" w:type="dxa"/>
            </w:tcMar>
          </w:tcPr>
          <w:p>
            <w:pPr>
              <w:spacing w:after="0"/>
            </w:pPr>
            <w:r>
              <w:rPr>
                <w:rFonts w:ascii="Calibri" w:hAnsi="Calibri"/>
                <w:color w:val="141414"/>
                <w:sz w:val="19"/>
              </w:rPr>
              <w:t>Okta or Microsoft Entra ID, AWS IAM logs</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3</w:t>
            </w:r>
          </w:p>
        </w:tc>
        <w:tc>
          <w:tcPr>
            <w:tcW w:type="dxa" w:w="2500"/>
            <w:vAlign w:val="center"/>
            <w:tcMar>
              <w:top w:w="80" w:type="dxa"/>
              <w:bottom w:w="80" w:type="dxa"/>
              <w:start w:w="120" w:type="dxa"/>
              <w:end w:w="120" w:type="dxa"/>
            </w:tcMar>
          </w:tcPr>
          <w:p>
            <w:pPr>
              <w:spacing w:after="0"/>
            </w:pPr>
            <w:r>
              <w:rPr>
                <w:rFonts w:ascii="Calibri" w:hAnsi="Calibri"/>
                <w:color w:val="141414"/>
                <w:sz w:val="19"/>
              </w:rPr>
              <w:t>Vulnerability and threat telemetry</w:t>
            </w:r>
          </w:p>
        </w:tc>
        <w:tc>
          <w:tcPr>
            <w:tcW w:type="dxa" w:w="3300"/>
            <w:vAlign w:val="center"/>
            <w:tcMar>
              <w:top w:w="80" w:type="dxa"/>
              <w:bottom w:w="80" w:type="dxa"/>
              <w:start w:w="120" w:type="dxa"/>
              <w:end w:w="120" w:type="dxa"/>
            </w:tcMar>
          </w:tcPr>
          <w:p>
            <w:pPr>
              <w:spacing w:after="0"/>
            </w:pPr>
            <w:r>
              <w:rPr>
                <w:rFonts w:ascii="Calibri" w:hAnsi="Calibri"/>
                <w:color w:val="141414"/>
                <w:sz w:val="19"/>
              </w:rPr>
              <w:t>Feeds control degradation and FAIR frequency/susceptibility assumptions</w:t>
            </w:r>
          </w:p>
        </w:tc>
        <w:tc>
          <w:tcPr>
            <w:tcW w:type="dxa" w:w="2660"/>
            <w:vAlign w:val="center"/>
            <w:tcMar>
              <w:top w:w="80" w:type="dxa"/>
              <w:bottom w:w="80" w:type="dxa"/>
              <w:start w:w="120" w:type="dxa"/>
              <w:end w:w="120" w:type="dxa"/>
            </w:tcMar>
          </w:tcPr>
          <w:p>
            <w:pPr>
              <w:spacing w:after="0"/>
            </w:pPr>
            <w:r>
              <w:rPr>
                <w:rFonts w:ascii="Calibri" w:hAnsi="Calibri"/>
                <w:color w:val="141414"/>
                <w:sz w:val="19"/>
              </w:rPr>
              <w:t>Inspector, Qualys/Tenable/Rapid7, SIEM/XDR</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4</w:t>
            </w:r>
          </w:p>
        </w:tc>
        <w:tc>
          <w:tcPr>
            <w:tcW w:type="dxa" w:w="2500"/>
            <w:vAlign w:val="center"/>
            <w:tcMar>
              <w:top w:w="80" w:type="dxa"/>
              <w:bottom w:w="80" w:type="dxa"/>
              <w:start w:w="120" w:type="dxa"/>
              <w:end w:w="120" w:type="dxa"/>
            </w:tcMar>
          </w:tcPr>
          <w:p>
            <w:pPr>
              <w:spacing w:after="0"/>
            </w:pPr>
            <w:r>
              <w:rPr>
                <w:rFonts w:ascii="Calibri" w:hAnsi="Calibri"/>
                <w:color w:val="141414"/>
                <w:sz w:val="19"/>
              </w:rPr>
              <w:t>Workflow systems</w:t>
            </w:r>
          </w:p>
        </w:tc>
        <w:tc>
          <w:tcPr>
            <w:tcW w:type="dxa" w:w="3300"/>
            <w:vAlign w:val="center"/>
            <w:tcMar>
              <w:top w:w="80" w:type="dxa"/>
              <w:bottom w:w="80" w:type="dxa"/>
              <w:start w:w="120" w:type="dxa"/>
              <w:end w:w="120" w:type="dxa"/>
            </w:tcMar>
          </w:tcPr>
          <w:p>
            <w:pPr>
              <w:spacing w:after="0"/>
            </w:pPr>
            <w:r>
              <w:rPr>
                <w:rFonts w:ascii="Calibri" w:hAnsi="Calibri"/>
                <w:color w:val="141414"/>
                <w:sz w:val="19"/>
              </w:rPr>
              <w:t>Pushes remediation into existing operational habits</w:t>
            </w:r>
          </w:p>
        </w:tc>
        <w:tc>
          <w:tcPr>
            <w:tcW w:type="dxa" w:w="2660"/>
            <w:vAlign w:val="center"/>
            <w:tcMar>
              <w:top w:w="80" w:type="dxa"/>
              <w:bottom w:w="80" w:type="dxa"/>
              <w:start w:w="120" w:type="dxa"/>
              <w:end w:w="120" w:type="dxa"/>
            </w:tcMar>
          </w:tcPr>
          <w:p>
            <w:pPr>
              <w:spacing w:after="0"/>
            </w:pPr>
            <w:r>
              <w:rPr>
                <w:rFonts w:ascii="Calibri" w:hAnsi="Calibri"/>
                <w:color w:val="141414"/>
                <w:sz w:val="19"/>
              </w:rPr>
              <w:t>Jira, ServiceNow, Slack/Teams notifications</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5</w:t>
            </w:r>
          </w:p>
        </w:tc>
        <w:tc>
          <w:tcPr>
            <w:tcW w:type="dxa" w:w="2500"/>
            <w:vAlign w:val="center"/>
            <w:tcMar>
              <w:top w:w="80" w:type="dxa"/>
              <w:bottom w:w="80" w:type="dxa"/>
              <w:start w:w="120" w:type="dxa"/>
              <w:end w:w="120" w:type="dxa"/>
            </w:tcMar>
          </w:tcPr>
          <w:p>
            <w:pPr>
              <w:spacing w:after="0"/>
            </w:pPr>
            <w:r>
              <w:rPr>
                <w:rFonts w:ascii="Calibri" w:hAnsi="Calibri"/>
                <w:color w:val="141414"/>
                <w:sz w:val="19"/>
              </w:rPr>
              <w:t>Third-party risk and legacy imports</w:t>
            </w:r>
          </w:p>
        </w:tc>
        <w:tc>
          <w:tcPr>
            <w:tcW w:type="dxa" w:w="3300"/>
            <w:vAlign w:val="center"/>
            <w:tcMar>
              <w:top w:w="80" w:type="dxa"/>
              <w:bottom w:w="80" w:type="dxa"/>
              <w:start w:w="120" w:type="dxa"/>
              <w:end w:w="120" w:type="dxa"/>
            </w:tcMar>
          </w:tcPr>
          <w:p>
            <w:pPr>
              <w:spacing w:after="0"/>
            </w:pPr>
            <w:r>
              <w:rPr>
                <w:rFonts w:ascii="Calibri" w:hAnsi="Calibri"/>
                <w:color w:val="141414"/>
                <w:sz w:val="19"/>
              </w:rPr>
              <w:t>Bootstraps vendor and risk context without manual re-entry</w:t>
            </w:r>
          </w:p>
        </w:tc>
        <w:tc>
          <w:tcPr>
            <w:tcW w:type="dxa" w:w="2660"/>
            <w:vAlign w:val="center"/>
            <w:tcMar>
              <w:top w:w="80" w:type="dxa"/>
              <w:bottom w:w="80" w:type="dxa"/>
              <w:start w:w="120" w:type="dxa"/>
              <w:end w:w="120" w:type="dxa"/>
            </w:tcMar>
          </w:tcPr>
          <w:p>
            <w:pPr>
              <w:spacing w:after="0"/>
            </w:pPr>
            <w:r>
              <w:rPr>
                <w:rFonts w:ascii="Calibri" w:hAnsi="Calibri"/>
                <w:color w:val="141414"/>
                <w:sz w:val="19"/>
              </w:rPr>
              <w:t>OneTrust export, ProcessUnity/CyberGRX-style risk feeds, vendor document upload</w:t>
            </w:r>
          </w:p>
        </w:tc>
      </w:tr>
      <w:tr>
        <w:tc>
          <w:tcPr>
            <w:tcW w:type="dxa" w:w="900"/>
            <w:vAlign w:val="center"/>
            <w:tcMar>
              <w:top w:w="80" w:type="dxa"/>
              <w:bottom w:w="80" w:type="dxa"/>
              <w:start w:w="120" w:type="dxa"/>
              <w:end w:w="120" w:type="dxa"/>
            </w:tcMar>
          </w:tcPr>
          <w:p>
            <w:pPr>
              <w:spacing w:after="0"/>
            </w:pPr>
            <w:r>
              <w:rPr>
                <w:rFonts w:ascii="Calibri" w:hAnsi="Calibri"/>
                <w:color w:val="141414"/>
                <w:sz w:val="19"/>
              </w:rPr>
              <w:t>6</w:t>
            </w:r>
          </w:p>
        </w:tc>
        <w:tc>
          <w:tcPr>
            <w:tcW w:type="dxa" w:w="2500"/>
            <w:vAlign w:val="center"/>
            <w:tcMar>
              <w:top w:w="80" w:type="dxa"/>
              <w:bottom w:w="80" w:type="dxa"/>
              <w:start w:w="120" w:type="dxa"/>
              <w:end w:w="120" w:type="dxa"/>
            </w:tcMar>
          </w:tcPr>
          <w:p>
            <w:pPr>
              <w:spacing w:after="0"/>
            </w:pPr>
            <w:r>
              <w:rPr>
                <w:rFonts w:ascii="Calibri" w:hAnsi="Calibri"/>
                <w:color w:val="141414"/>
                <w:sz w:val="19"/>
              </w:rPr>
              <w:t>Document repositories and policy systems</w:t>
            </w:r>
          </w:p>
        </w:tc>
        <w:tc>
          <w:tcPr>
            <w:tcW w:type="dxa" w:w="3300"/>
            <w:vAlign w:val="center"/>
            <w:tcMar>
              <w:top w:w="80" w:type="dxa"/>
              <w:bottom w:w="80" w:type="dxa"/>
              <w:start w:w="120" w:type="dxa"/>
              <w:end w:w="120" w:type="dxa"/>
            </w:tcMar>
          </w:tcPr>
          <w:p>
            <w:pPr>
              <w:spacing w:after="0"/>
            </w:pPr>
            <w:r>
              <w:rPr>
                <w:rFonts w:ascii="Calibri" w:hAnsi="Calibri"/>
                <w:color w:val="141414"/>
                <w:sz w:val="19"/>
              </w:rPr>
              <w:t>Links policies, SOPs, and standards to controls</w:t>
            </w:r>
          </w:p>
        </w:tc>
        <w:tc>
          <w:tcPr>
            <w:tcW w:type="dxa" w:w="2660"/>
            <w:vAlign w:val="center"/>
            <w:tcMar>
              <w:top w:w="80" w:type="dxa"/>
              <w:bottom w:w="80" w:type="dxa"/>
              <w:start w:w="120" w:type="dxa"/>
              <w:end w:w="120" w:type="dxa"/>
            </w:tcMar>
          </w:tcPr>
          <w:p>
            <w:pPr>
              <w:spacing w:after="0"/>
            </w:pPr>
            <w:r>
              <w:rPr>
                <w:rFonts w:ascii="Calibri" w:hAnsi="Calibri"/>
                <w:color w:val="141414"/>
                <w:sz w:val="19"/>
              </w:rPr>
              <w:t>SharePoint/Drive/Confluence or existing document store</w:t>
            </w:r>
          </w:p>
        </w:tc>
      </w:tr>
    </w:tbl>
    <w:p>
      <w:pPr>
        <w:spacing w:after="40"/>
      </w:pPr>
    </w:p>
    <w:p>
      <w:pPr>
        <w:pStyle w:val="Heading2"/>
        <w:keepNext/>
        <w:spacing w:before="240" w:after="120"/>
      </w:pPr>
      <w:r>
        <w:rPr>
          <w:rFonts w:ascii="Calibri" w:hAnsi="Calibri"/>
          <w:b/>
          <w:color w:val="2E74B5"/>
          <w:sz w:val="26"/>
        </w:rPr>
        <w:t>8.3 Immutable Evidence Pipeline</w:t>
      </w:r>
    </w:p>
    <w:p>
      <w:pPr>
        <w:spacing w:after="80" w:line="280" w:lineRule="auto"/>
        <w:ind w:left="360" w:hanging="216"/>
      </w:pPr>
      <w:r>
        <w:rPr>
          <w:rFonts w:ascii="Calibri" w:hAnsi="Calibri"/>
          <w:color w:val="141414"/>
          <w:sz w:val="22"/>
        </w:rPr>
        <w:t xml:space="preserve">- </w:t>
      </w:r>
      <w:r>
        <w:rPr>
          <w:rFonts w:ascii="Calibri" w:hAnsi="Calibri"/>
          <w:color w:val="141414"/>
          <w:sz w:val="22"/>
        </w:rPr>
        <w:t>Write every raw webhook, upload, AI context log, and final decision artifact to an S3 bucket with versioning enabled.</w:t>
      </w:r>
    </w:p>
    <w:p>
      <w:pPr>
        <w:spacing w:after="80" w:line="280" w:lineRule="auto"/>
        <w:ind w:left="360" w:hanging="216"/>
      </w:pPr>
      <w:r>
        <w:rPr>
          <w:rFonts w:ascii="Calibri" w:hAnsi="Calibri"/>
          <w:color w:val="141414"/>
          <w:sz w:val="22"/>
        </w:rPr>
        <w:t xml:space="preserve">- </w:t>
      </w:r>
      <w:r>
        <w:rPr>
          <w:rFonts w:ascii="Calibri" w:hAnsi="Calibri"/>
          <w:color w:val="141414"/>
          <w:sz w:val="22"/>
        </w:rPr>
        <w:t>Apply Object Lock retention policies to evidence and AI decision logs according to legal and audit requirements.</w:t>
      </w:r>
    </w:p>
    <w:p>
      <w:pPr>
        <w:spacing w:after="80" w:line="280" w:lineRule="auto"/>
        <w:ind w:left="360" w:hanging="216"/>
      </w:pPr>
      <w:r>
        <w:rPr>
          <w:rFonts w:ascii="Calibri" w:hAnsi="Calibri"/>
          <w:color w:val="141414"/>
          <w:sz w:val="22"/>
        </w:rPr>
        <w:t xml:space="preserve">- </w:t>
      </w:r>
      <w:r>
        <w:rPr>
          <w:rFonts w:ascii="Calibri" w:hAnsi="Calibri"/>
          <w:color w:val="141414"/>
          <w:sz w:val="22"/>
        </w:rPr>
        <w:t>Store the bucket, key, version ID, content hash, collected_at, valid_until, and retention mode on the Evidence node or related edge.</w:t>
      </w:r>
    </w:p>
    <w:p>
      <w:pPr>
        <w:spacing w:after="80" w:line="280" w:lineRule="auto"/>
        <w:ind w:left="360" w:hanging="216"/>
      </w:pPr>
      <w:r>
        <w:rPr>
          <w:rFonts w:ascii="Calibri" w:hAnsi="Calibri"/>
          <w:color w:val="141414"/>
          <w:sz w:val="22"/>
        </w:rPr>
        <w:t xml:space="preserve">- </w:t>
      </w:r>
      <w:r>
        <w:rPr>
          <w:rFonts w:ascii="Calibri" w:hAnsi="Calibri"/>
          <w:color w:val="141414"/>
          <w:sz w:val="22"/>
        </w:rPr>
        <w:t>When a user clicks evidence in the UI, retrieve the exact object version referenced by the graph edge.</w:t>
      </w:r>
    </w:p>
    <w:p>
      <w:pPr>
        <w:spacing w:after="80" w:line="280" w:lineRule="auto"/>
        <w:ind w:left="360" w:hanging="216"/>
      </w:pPr>
      <w:r>
        <w:rPr>
          <w:rFonts w:ascii="Calibri" w:hAnsi="Calibri"/>
          <w:color w:val="141414"/>
          <w:sz w:val="22"/>
        </w:rPr>
        <w:t xml:space="preserve">- </w:t>
      </w:r>
      <w:r>
        <w:rPr>
          <w:rFonts w:ascii="Calibri" w:hAnsi="Calibri"/>
          <w:color w:val="141414"/>
          <w:sz w:val="22"/>
        </w:rPr>
        <w:t>If evidence must be annotated later, create a new object version or annotation artifact; do not mutate the original locked evidence.</w:t>
      </w:r>
    </w:p>
    <w:p>
      <w:pPr>
        <w:pStyle w:val="Heading1"/>
        <w:keepNext/>
        <w:spacing w:before="320" w:after="160"/>
      </w:pPr>
      <w:r>
        <w:rPr>
          <w:rFonts w:ascii="Calibri" w:hAnsi="Calibri"/>
          <w:b/>
          <w:color w:val="2E74B5"/>
          <w:sz w:val="32"/>
        </w:rPr>
        <w:t>9. User Experience and RBAC</w:t>
      </w:r>
    </w:p>
    <w:p>
      <w:pPr>
        <w:pStyle w:val="Heading2"/>
        <w:keepNext/>
        <w:spacing w:before="240" w:after="120"/>
      </w:pPr>
      <w:r>
        <w:rPr>
          <w:rFonts w:ascii="Calibri" w:hAnsi="Calibri"/>
          <w:b/>
          <w:color w:val="2E74B5"/>
          <w:sz w:val="26"/>
        </w:rPr>
        <w:t>9.1 Role-Specific Views</w:t>
      </w:r>
    </w:p>
    <w:tbl>
      <w:tblGrid>
        <w:gridCol w:w="2100"/>
        <w:gridCol w:w="5000"/>
        <w:gridCol w:w="2260"/>
      </w:tblGrid>
      <w:tblPr>
        <w:tblStyle w:val="TableGrid"/>
        <w:tblW w:type="dxa" w:w="9360"/>
        <w:tblLayout w:type="fixed"/>
        <w:tblLook w:firstColumn="1" w:firstRow="1" w:lastColumn="0" w:lastRow="0" w:noHBand="0" w:noVBand="1" w:val="04A0"/>
        <w:jc w:val="center"/>
        <w:tblInd w:w="120" w:type="dxa"/>
      </w:tblPr>
      <w:tr>
        <w:tc>
          <w:tcPr>
            <w:tcW w:type="dxa" w:w="2100"/>
            <w:vAlign w:val="center"/>
            <w:tcMar>
              <w:top w:w="80" w:type="dxa"/>
              <w:bottom w:w="80" w:type="dxa"/>
              <w:start w:w="120" w:type="dxa"/>
              <w:end w:w="120" w:type="dxa"/>
            </w:tcMar>
            <w:shd w:fill="F2F4F7"/>
          </w:tcPr>
          <w:p>
            <w:pPr>
              <w:spacing w:after="0"/>
            </w:pPr>
            <w:r>
              <w:rPr>
                <w:rFonts w:ascii="Calibri" w:hAnsi="Calibri"/>
                <w:b/>
                <w:color w:val="141414"/>
                <w:sz w:val="19"/>
              </w:rPr>
              <w:t>Persona</w:t>
            </w:r>
          </w:p>
        </w:tc>
        <w:tc>
          <w:tcPr>
            <w:tcW w:type="dxa" w:w="5000"/>
            <w:vAlign w:val="center"/>
            <w:tcMar>
              <w:top w:w="80" w:type="dxa"/>
              <w:bottom w:w="80" w:type="dxa"/>
              <w:start w:w="120" w:type="dxa"/>
              <w:end w:w="120" w:type="dxa"/>
            </w:tcMar>
            <w:shd w:fill="F2F4F7"/>
          </w:tcPr>
          <w:p>
            <w:pPr>
              <w:spacing w:after="0"/>
            </w:pPr>
            <w:r>
              <w:rPr>
                <w:rFonts w:ascii="Calibri" w:hAnsi="Calibri"/>
                <w:b/>
                <w:color w:val="141414"/>
                <w:sz w:val="19"/>
              </w:rPr>
              <w:t>Primary Jobs</w:t>
            </w:r>
          </w:p>
        </w:tc>
        <w:tc>
          <w:tcPr>
            <w:tcW w:type="dxa" w:w="2260"/>
            <w:vAlign w:val="center"/>
            <w:tcMar>
              <w:top w:w="80" w:type="dxa"/>
              <w:bottom w:w="80" w:type="dxa"/>
              <w:start w:w="120" w:type="dxa"/>
              <w:end w:w="120" w:type="dxa"/>
            </w:tcMar>
            <w:shd w:fill="F2F4F7"/>
          </w:tcPr>
          <w:p>
            <w:pPr>
              <w:spacing w:after="0"/>
            </w:pPr>
            <w:r>
              <w:rPr>
                <w:rFonts w:ascii="Calibri" w:hAnsi="Calibri"/>
                <w:b/>
                <w:color w:val="141414"/>
                <w:sz w:val="19"/>
              </w:rPr>
              <w:t>Default Landing View</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System Admin</w:t>
            </w:r>
          </w:p>
        </w:tc>
        <w:tc>
          <w:tcPr>
            <w:tcW w:type="dxa" w:w="5000"/>
            <w:vAlign w:val="center"/>
            <w:tcMar>
              <w:top w:w="80" w:type="dxa"/>
              <w:bottom w:w="80" w:type="dxa"/>
              <w:start w:w="120" w:type="dxa"/>
              <w:end w:w="120" w:type="dxa"/>
            </w:tcMar>
          </w:tcPr>
          <w:p>
            <w:pPr>
              <w:spacing w:after="0"/>
            </w:pPr>
            <w:r>
              <w:rPr>
                <w:rFonts w:ascii="Calibri" w:hAnsi="Calibri"/>
                <w:color w:val="141414"/>
                <w:sz w:val="19"/>
              </w:rPr>
              <w:t>Configure tenants, integrations, RBAC, retention, guardrails, and agent lifecycle</w:t>
            </w:r>
          </w:p>
        </w:tc>
        <w:tc>
          <w:tcPr>
            <w:tcW w:type="dxa" w:w="2260"/>
            <w:vAlign w:val="center"/>
            <w:tcMar>
              <w:top w:w="80" w:type="dxa"/>
              <w:bottom w:w="80" w:type="dxa"/>
              <w:start w:w="120" w:type="dxa"/>
              <w:end w:w="120" w:type="dxa"/>
            </w:tcMar>
          </w:tcPr>
          <w:p>
            <w:pPr>
              <w:spacing w:after="0"/>
            </w:pPr>
            <w:r>
              <w:rPr>
                <w:rFonts w:ascii="Calibri" w:hAnsi="Calibri"/>
                <w:color w:val="141414"/>
                <w:sz w:val="19"/>
              </w:rPr>
              <w:t>Admin health and integration status</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Compliance Analyst</w:t>
            </w:r>
          </w:p>
        </w:tc>
        <w:tc>
          <w:tcPr>
            <w:tcW w:type="dxa" w:w="5000"/>
            <w:vAlign w:val="center"/>
            <w:tcMar>
              <w:top w:w="80" w:type="dxa"/>
              <w:bottom w:w="80" w:type="dxa"/>
              <w:start w:w="120" w:type="dxa"/>
              <w:end w:w="120" w:type="dxa"/>
            </w:tcMar>
          </w:tcPr>
          <w:p>
            <w:pPr>
              <w:spacing w:after="0"/>
            </w:pPr>
            <w:r>
              <w:rPr>
                <w:rFonts w:ascii="Calibri" w:hAnsi="Calibri"/>
                <w:color w:val="141414"/>
                <w:sz w:val="19"/>
              </w:rPr>
              <w:t>Manage controls, approve mappings, prepare audits, review evidence, tune frameworks</w:t>
            </w:r>
          </w:p>
        </w:tc>
        <w:tc>
          <w:tcPr>
            <w:tcW w:type="dxa" w:w="2260"/>
            <w:vAlign w:val="center"/>
            <w:tcMar>
              <w:top w:w="80" w:type="dxa"/>
              <w:bottom w:w="80" w:type="dxa"/>
              <w:start w:w="120" w:type="dxa"/>
              <w:end w:w="120" w:type="dxa"/>
            </w:tcMar>
          </w:tcPr>
          <w:p>
            <w:pPr>
              <w:spacing w:after="0"/>
            </w:pPr>
            <w:r>
              <w:rPr>
                <w:rFonts w:ascii="Calibri" w:hAnsi="Calibri"/>
                <w:color w:val="141414"/>
                <w:sz w:val="19"/>
              </w:rPr>
              <w:t>Control Center and pending approvals</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Control Owner</w:t>
            </w:r>
          </w:p>
        </w:tc>
        <w:tc>
          <w:tcPr>
            <w:tcW w:type="dxa" w:w="5000"/>
            <w:vAlign w:val="center"/>
            <w:tcMar>
              <w:top w:w="80" w:type="dxa"/>
              <w:bottom w:w="80" w:type="dxa"/>
              <w:start w:w="120" w:type="dxa"/>
              <w:end w:w="120" w:type="dxa"/>
            </w:tcMar>
          </w:tcPr>
          <w:p>
            <w:pPr>
              <w:spacing w:after="0"/>
            </w:pPr>
            <w:r>
              <w:rPr>
                <w:rFonts w:ascii="Calibri" w:hAnsi="Calibri"/>
                <w:color w:val="141414"/>
                <w:sz w:val="19"/>
              </w:rPr>
              <w:t>Respond to evidence requests, fix degraded controls, confirm remediation</w:t>
            </w:r>
          </w:p>
        </w:tc>
        <w:tc>
          <w:tcPr>
            <w:tcW w:type="dxa" w:w="2260"/>
            <w:vAlign w:val="center"/>
            <w:tcMar>
              <w:top w:w="80" w:type="dxa"/>
              <w:bottom w:w="80" w:type="dxa"/>
              <w:start w:w="120" w:type="dxa"/>
              <w:end w:w="120" w:type="dxa"/>
            </w:tcMar>
          </w:tcPr>
          <w:p>
            <w:pPr>
              <w:spacing w:after="0"/>
            </w:pPr>
            <w:r>
              <w:rPr>
                <w:rFonts w:ascii="Calibri" w:hAnsi="Calibri"/>
                <w:color w:val="141414"/>
                <w:sz w:val="19"/>
              </w:rPr>
              <w:t>Assigned control tasks and daily digest</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Third-Party Risk Analyst</w:t>
            </w:r>
          </w:p>
        </w:tc>
        <w:tc>
          <w:tcPr>
            <w:tcW w:type="dxa" w:w="5000"/>
            <w:vAlign w:val="center"/>
            <w:tcMar>
              <w:top w:w="80" w:type="dxa"/>
              <w:bottom w:w="80" w:type="dxa"/>
              <w:start w:w="120" w:type="dxa"/>
              <w:end w:w="120" w:type="dxa"/>
            </w:tcMar>
          </w:tcPr>
          <w:p>
            <w:pPr>
              <w:spacing w:after="0"/>
            </w:pPr>
            <w:r>
              <w:rPr>
                <w:rFonts w:ascii="Calibri" w:hAnsi="Calibri"/>
                <w:color w:val="141414"/>
                <w:sz w:val="19"/>
              </w:rPr>
              <w:t>Manage vendor intake, review vendor evidence, assess vendor control dependencies</w:t>
            </w:r>
          </w:p>
        </w:tc>
        <w:tc>
          <w:tcPr>
            <w:tcW w:type="dxa" w:w="2260"/>
            <w:vAlign w:val="center"/>
            <w:tcMar>
              <w:top w:w="80" w:type="dxa"/>
              <w:bottom w:w="80" w:type="dxa"/>
              <w:start w:w="120" w:type="dxa"/>
              <w:end w:w="120" w:type="dxa"/>
            </w:tcMar>
          </w:tcPr>
          <w:p>
            <w:pPr>
              <w:spacing w:after="0"/>
            </w:pPr>
            <w:r>
              <w:rPr>
                <w:rFonts w:ascii="Calibri" w:hAnsi="Calibri"/>
                <w:color w:val="141414"/>
                <w:sz w:val="19"/>
              </w:rPr>
              <w:t>Vendor risk queue</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Executive / Board</w:t>
            </w:r>
          </w:p>
        </w:tc>
        <w:tc>
          <w:tcPr>
            <w:tcW w:type="dxa" w:w="5000"/>
            <w:vAlign w:val="center"/>
            <w:tcMar>
              <w:top w:w="80" w:type="dxa"/>
              <w:bottom w:w="80" w:type="dxa"/>
              <w:start w:w="120" w:type="dxa"/>
              <w:end w:w="120" w:type="dxa"/>
            </w:tcMar>
          </w:tcPr>
          <w:p>
            <w:pPr>
              <w:spacing w:after="0"/>
            </w:pPr>
            <w:r>
              <w:rPr>
                <w:rFonts w:ascii="Calibri" w:hAnsi="Calibri"/>
                <w:color w:val="141414"/>
                <w:sz w:val="19"/>
              </w:rPr>
              <w:t>Understand material exposure, control health, risk trends, and compliance readiness</w:t>
            </w:r>
          </w:p>
        </w:tc>
        <w:tc>
          <w:tcPr>
            <w:tcW w:type="dxa" w:w="2260"/>
            <w:vAlign w:val="center"/>
            <w:tcMar>
              <w:top w:w="80" w:type="dxa"/>
              <w:bottom w:w="80" w:type="dxa"/>
              <w:start w:w="120" w:type="dxa"/>
              <w:end w:w="120" w:type="dxa"/>
            </w:tcMar>
          </w:tcPr>
          <w:p>
            <w:pPr>
              <w:spacing w:after="0"/>
            </w:pPr>
            <w:r>
              <w:rPr>
                <w:rFonts w:ascii="Calibri" w:hAnsi="Calibri"/>
                <w:color w:val="141414"/>
                <w:sz w:val="19"/>
              </w:rPr>
              <w:t>Global FAIR and control health dashboard</w:t>
            </w:r>
          </w:p>
        </w:tc>
      </w:tr>
      <w:tr>
        <w:tc>
          <w:tcPr>
            <w:tcW w:type="dxa" w:w="2100"/>
            <w:vAlign w:val="center"/>
            <w:tcMar>
              <w:top w:w="80" w:type="dxa"/>
              <w:bottom w:w="80" w:type="dxa"/>
              <w:start w:w="120" w:type="dxa"/>
              <w:end w:w="120" w:type="dxa"/>
            </w:tcMar>
          </w:tcPr>
          <w:p>
            <w:pPr>
              <w:spacing w:after="0"/>
            </w:pPr>
            <w:r>
              <w:rPr>
                <w:rFonts w:ascii="Calibri" w:hAnsi="Calibri"/>
                <w:color w:val="141414"/>
                <w:sz w:val="19"/>
              </w:rPr>
              <w:t>Auditor</w:t>
            </w:r>
          </w:p>
        </w:tc>
        <w:tc>
          <w:tcPr>
            <w:tcW w:type="dxa" w:w="5000"/>
            <w:vAlign w:val="center"/>
            <w:tcMar>
              <w:top w:w="80" w:type="dxa"/>
              <w:bottom w:w="80" w:type="dxa"/>
              <w:start w:w="120" w:type="dxa"/>
              <w:end w:w="120" w:type="dxa"/>
            </w:tcMar>
          </w:tcPr>
          <w:p>
            <w:pPr>
              <w:spacing w:after="0"/>
            </w:pPr>
            <w:r>
              <w:rPr>
                <w:rFonts w:ascii="Calibri" w:hAnsi="Calibri"/>
                <w:color w:val="141414"/>
                <w:sz w:val="19"/>
              </w:rPr>
              <w:t>Review evidence, control mappings, audit trails, and immutable proof packages</w:t>
            </w:r>
          </w:p>
        </w:tc>
        <w:tc>
          <w:tcPr>
            <w:tcW w:type="dxa" w:w="2260"/>
            <w:vAlign w:val="center"/>
            <w:tcMar>
              <w:top w:w="80" w:type="dxa"/>
              <w:bottom w:w="80" w:type="dxa"/>
              <w:start w:w="120" w:type="dxa"/>
              <w:end w:w="120" w:type="dxa"/>
            </w:tcMar>
          </w:tcPr>
          <w:p>
            <w:pPr>
              <w:spacing w:after="0"/>
            </w:pPr>
            <w:r>
              <w:rPr>
                <w:rFonts w:ascii="Calibri" w:hAnsi="Calibri"/>
                <w:color w:val="141414"/>
                <w:sz w:val="19"/>
              </w:rPr>
              <w:t>Audit package and evidence trail</w:t>
            </w:r>
          </w:p>
        </w:tc>
      </w:tr>
    </w:tbl>
    <w:p>
      <w:pPr>
        <w:spacing w:after="40"/>
      </w:pPr>
    </w:p>
    <w:p>
      <w:pPr>
        <w:pStyle w:val="Heading2"/>
        <w:keepNext/>
        <w:spacing w:before="240" w:after="120"/>
      </w:pPr>
      <w:r>
        <w:rPr>
          <w:rFonts w:ascii="Calibri" w:hAnsi="Calibri"/>
          <w:b/>
          <w:color w:val="2E74B5"/>
          <w:sz w:val="26"/>
        </w:rPr>
        <w:t>9.2 Required UI Views</w:t>
      </w:r>
    </w:p>
    <w:p>
      <w:pPr>
        <w:spacing w:after="80" w:line="280" w:lineRule="auto"/>
        <w:ind w:left="360" w:hanging="216"/>
      </w:pPr>
      <w:r>
        <w:rPr>
          <w:rFonts w:ascii="Calibri" w:hAnsi="Calibri"/>
          <w:color w:val="141414"/>
          <w:sz w:val="22"/>
        </w:rPr>
        <w:t xml:space="preserve">- </w:t>
      </w:r>
      <w:r>
        <w:rPr>
          <w:rFonts w:ascii="Calibri" w:hAnsi="Calibri"/>
          <w:color w:val="141414"/>
          <w:sz w:val="22"/>
        </w:rPr>
        <w:t>Global Risk Dashboard: FAIR P10/P50/P90 exposure, appetite breaches, control health rollup, top scenarios, and material control failures.</w:t>
      </w:r>
    </w:p>
    <w:p>
      <w:pPr>
        <w:spacing w:after="80" w:line="280" w:lineRule="auto"/>
        <w:ind w:left="360" w:hanging="216"/>
      </w:pPr>
      <w:r>
        <w:rPr>
          <w:rFonts w:ascii="Calibri" w:hAnsi="Calibri"/>
          <w:color w:val="141414"/>
          <w:sz w:val="22"/>
        </w:rPr>
        <w:t xml:space="preserve">- </w:t>
      </w:r>
      <w:r>
        <w:rPr>
          <w:rFonts w:ascii="Calibri" w:hAnsi="Calibri"/>
          <w:color w:val="141414"/>
          <w:sz w:val="22"/>
        </w:rPr>
        <w:t>Control Detail: metadata, owner, implementation status, KPIs/KRIs, sub-graph, evidence, requirements, assets, policies, risk scenarios, vendors, AI history.</w:t>
      </w:r>
    </w:p>
    <w:p>
      <w:pPr>
        <w:spacing w:after="80" w:line="280" w:lineRule="auto"/>
        <w:ind w:left="360" w:hanging="216"/>
      </w:pPr>
      <w:r>
        <w:rPr>
          <w:rFonts w:ascii="Calibri" w:hAnsi="Calibri"/>
          <w:color w:val="141414"/>
          <w:sz w:val="22"/>
        </w:rPr>
        <w:t xml:space="preserve">- </w:t>
      </w:r>
      <w:r>
        <w:rPr>
          <w:rFonts w:ascii="Calibri" w:hAnsi="Calibri"/>
          <w:color w:val="141414"/>
          <w:sz w:val="22"/>
        </w:rPr>
        <w:t>Graph Explorer: interactive subgraph with filters, path explanations, and edge detail side panels.</w:t>
      </w:r>
    </w:p>
    <w:p>
      <w:pPr>
        <w:spacing w:after="80" w:line="280" w:lineRule="auto"/>
        <w:ind w:left="360" w:hanging="216"/>
      </w:pPr>
      <w:r>
        <w:rPr>
          <w:rFonts w:ascii="Calibri" w:hAnsi="Calibri"/>
          <w:color w:val="141414"/>
          <w:sz w:val="22"/>
        </w:rPr>
        <w:t xml:space="preserve">- </w:t>
      </w:r>
      <w:r>
        <w:rPr>
          <w:rFonts w:ascii="Calibri" w:hAnsi="Calibri"/>
          <w:color w:val="141414"/>
          <w:sz w:val="22"/>
        </w:rPr>
        <w:t>Pending Approvals Queue: AI-proposed mappings, evidence verdicts, remediation requests, confidence, diff viewer, approve/reject with rationale.</w:t>
      </w:r>
    </w:p>
    <w:p>
      <w:pPr>
        <w:spacing w:after="80" w:line="280" w:lineRule="auto"/>
        <w:ind w:left="360" w:hanging="216"/>
      </w:pPr>
      <w:r>
        <w:rPr>
          <w:rFonts w:ascii="Calibri" w:hAnsi="Calibri"/>
          <w:color w:val="141414"/>
          <w:sz w:val="22"/>
        </w:rPr>
        <w:t xml:space="preserve">- </w:t>
      </w:r>
      <w:r>
        <w:rPr>
          <w:rFonts w:ascii="Calibri" w:hAnsi="Calibri"/>
          <w:color w:val="141414"/>
          <w:sz w:val="22"/>
        </w:rPr>
        <w:t>Evidence Library: search, validity status, source system, linked controls, immutable object version, audit package inclusion.</w:t>
      </w:r>
    </w:p>
    <w:p>
      <w:pPr>
        <w:spacing w:after="80" w:line="280" w:lineRule="auto"/>
        <w:ind w:left="360" w:hanging="216"/>
      </w:pPr>
      <w:r>
        <w:rPr>
          <w:rFonts w:ascii="Calibri" w:hAnsi="Calibri"/>
          <w:color w:val="141414"/>
          <w:sz w:val="22"/>
        </w:rPr>
        <w:t xml:space="preserve">- </w:t>
      </w:r>
      <w:r>
        <w:rPr>
          <w:rFonts w:ascii="Calibri" w:hAnsi="Calibri"/>
          <w:color w:val="141414"/>
          <w:sz w:val="22"/>
        </w:rPr>
        <w:t>Framework Coverage: requirement list, mapped controls, coverage percentage, gaps, version changes, approval history.</w:t>
      </w:r>
    </w:p>
    <w:p>
      <w:pPr>
        <w:spacing w:after="80" w:line="280" w:lineRule="auto"/>
        <w:ind w:left="360" w:hanging="216"/>
      </w:pPr>
      <w:r>
        <w:rPr>
          <w:rFonts w:ascii="Calibri" w:hAnsi="Calibri"/>
          <w:color w:val="141414"/>
          <w:sz w:val="22"/>
        </w:rPr>
        <w:t xml:space="preserve">- </w:t>
      </w:r>
      <w:r>
        <w:rPr>
          <w:rFonts w:ascii="Calibri" w:hAnsi="Calibri"/>
          <w:color w:val="141414"/>
          <w:sz w:val="22"/>
        </w:rPr>
        <w:t>Integration Marketplace: OAuth/API connection flows, health checks, last sync, permission scopes, connector logs.</w:t>
      </w:r>
    </w:p>
    <w:p>
      <w:pPr>
        <w:spacing w:after="80" w:line="280" w:lineRule="auto"/>
        <w:ind w:left="360" w:hanging="216"/>
      </w:pPr>
      <w:r>
        <w:rPr>
          <w:rFonts w:ascii="Calibri" w:hAnsi="Calibri"/>
          <w:color w:val="141414"/>
          <w:sz w:val="22"/>
        </w:rPr>
        <w:t xml:space="preserve">- </w:t>
      </w:r>
      <w:r>
        <w:rPr>
          <w:rFonts w:ascii="Calibri" w:hAnsi="Calibri"/>
          <w:color w:val="141414"/>
          <w:sz w:val="22"/>
        </w:rPr>
        <w:t>Settings: tenant scoping, risk appetite, FAIR defaults, workflow templates, notification rules, retention, model versions.</w:t>
      </w:r>
    </w:p>
    <w:p>
      <w:pPr>
        <w:pStyle w:val="Heading2"/>
        <w:keepNext/>
        <w:spacing w:before="240" w:after="120"/>
      </w:pPr>
      <w:r>
        <w:rPr>
          <w:rFonts w:ascii="Calibri" w:hAnsi="Calibri"/>
          <w:b/>
          <w:color w:val="2E74B5"/>
          <w:sz w:val="26"/>
        </w:rPr>
        <w:t>9.3 RBAC Matrix</w:t>
      </w:r>
    </w:p>
    <w:tbl>
      <w:tblGrid>
        <w:gridCol w:w="2500"/>
        <w:gridCol w:w="1000"/>
        <w:gridCol w:w="1000"/>
        <w:gridCol w:w="1200"/>
        <w:gridCol w:w="1100"/>
        <w:gridCol w:w="1200"/>
        <w:gridCol w:w="1360"/>
      </w:tblGrid>
      <w:tblPr>
        <w:tblStyle w:val="TableGrid"/>
        <w:tblW w:type="dxa" w:w="9360"/>
        <w:tblLayout w:type="fixed"/>
        <w:tblLook w:firstColumn="1" w:firstRow="1" w:lastColumn="0" w:lastRow="0" w:noHBand="0" w:noVBand="1" w:val="04A0"/>
        <w:jc w:val="center"/>
        <w:tblInd w:w="120" w:type="dxa"/>
      </w:tblPr>
      <w:tr>
        <w:tc>
          <w:tcPr>
            <w:tcW w:type="dxa" w:w="2500"/>
            <w:vAlign w:val="center"/>
            <w:tcMar>
              <w:top w:w="80" w:type="dxa"/>
              <w:bottom w:w="80" w:type="dxa"/>
              <w:start w:w="120" w:type="dxa"/>
              <w:end w:w="120" w:type="dxa"/>
            </w:tcMar>
            <w:shd w:fill="F2F4F7"/>
          </w:tcPr>
          <w:p>
            <w:pPr>
              <w:spacing w:after="0"/>
            </w:pPr>
            <w:r>
              <w:rPr>
                <w:rFonts w:ascii="Calibri" w:hAnsi="Calibri"/>
                <w:b/>
                <w:color w:val="141414"/>
                <w:sz w:val="19"/>
              </w:rPr>
              <w:t>Action</w:t>
            </w:r>
          </w:p>
        </w:tc>
        <w:tc>
          <w:tcPr>
            <w:tcW w:type="dxa" w:w="1000"/>
            <w:vAlign w:val="center"/>
            <w:tcMar>
              <w:top w:w="80" w:type="dxa"/>
              <w:bottom w:w="80" w:type="dxa"/>
              <w:start w:w="120" w:type="dxa"/>
              <w:end w:w="120" w:type="dxa"/>
            </w:tcMar>
            <w:shd w:fill="F2F4F7"/>
          </w:tcPr>
          <w:p>
            <w:pPr>
              <w:spacing w:after="0"/>
            </w:pPr>
            <w:r>
              <w:rPr>
                <w:rFonts w:ascii="Calibri" w:hAnsi="Calibri"/>
                <w:b/>
                <w:color w:val="141414"/>
                <w:sz w:val="19"/>
              </w:rPr>
              <w:t>Admin</w:t>
            </w:r>
          </w:p>
        </w:tc>
        <w:tc>
          <w:tcPr>
            <w:tcW w:type="dxa" w:w="1000"/>
            <w:vAlign w:val="center"/>
            <w:tcMar>
              <w:top w:w="80" w:type="dxa"/>
              <w:bottom w:w="80" w:type="dxa"/>
              <w:start w:w="120" w:type="dxa"/>
              <w:end w:w="120" w:type="dxa"/>
            </w:tcMar>
            <w:shd w:fill="F2F4F7"/>
          </w:tcPr>
          <w:p>
            <w:pPr>
              <w:spacing w:after="0"/>
            </w:pPr>
            <w:r>
              <w:rPr>
                <w:rFonts w:ascii="Calibri" w:hAnsi="Calibri"/>
                <w:b/>
                <w:color w:val="141414"/>
                <w:sz w:val="19"/>
              </w:rPr>
              <w:t>Analyst</w:t>
            </w:r>
          </w:p>
        </w:tc>
        <w:tc>
          <w:tcPr>
            <w:tcW w:type="dxa" w:w="1200"/>
            <w:vAlign w:val="center"/>
            <w:tcMar>
              <w:top w:w="80" w:type="dxa"/>
              <w:bottom w:w="80" w:type="dxa"/>
              <w:start w:w="120" w:type="dxa"/>
              <w:end w:w="120" w:type="dxa"/>
            </w:tcMar>
            <w:shd w:fill="F2F4F7"/>
          </w:tcPr>
          <w:p>
            <w:pPr>
              <w:spacing w:after="0"/>
            </w:pPr>
            <w:r>
              <w:rPr>
                <w:rFonts w:ascii="Calibri" w:hAnsi="Calibri"/>
                <w:b/>
                <w:color w:val="141414"/>
                <w:sz w:val="19"/>
              </w:rPr>
              <w:t>Owner</w:t>
            </w:r>
          </w:p>
        </w:tc>
        <w:tc>
          <w:tcPr>
            <w:tcW w:type="dxa" w:w="1100"/>
            <w:vAlign w:val="center"/>
            <w:tcMar>
              <w:top w:w="80" w:type="dxa"/>
              <w:bottom w:w="80" w:type="dxa"/>
              <w:start w:w="120" w:type="dxa"/>
              <w:end w:w="120" w:type="dxa"/>
            </w:tcMar>
            <w:shd w:fill="F2F4F7"/>
          </w:tcPr>
          <w:p>
            <w:pPr>
              <w:spacing w:after="0"/>
            </w:pPr>
            <w:r>
              <w:rPr>
                <w:rFonts w:ascii="Calibri" w:hAnsi="Calibri"/>
                <w:b/>
                <w:color w:val="141414"/>
                <w:sz w:val="19"/>
              </w:rPr>
              <w:t>TPRM</w:t>
            </w:r>
          </w:p>
        </w:tc>
        <w:tc>
          <w:tcPr>
            <w:tcW w:type="dxa" w:w="1200"/>
            <w:vAlign w:val="center"/>
            <w:tcMar>
              <w:top w:w="80" w:type="dxa"/>
              <w:bottom w:w="80" w:type="dxa"/>
              <w:start w:w="120" w:type="dxa"/>
              <w:end w:w="120" w:type="dxa"/>
            </w:tcMar>
            <w:shd w:fill="F2F4F7"/>
          </w:tcPr>
          <w:p>
            <w:pPr>
              <w:spacing w:after="0"/>
            </w:pPr>
            <w:r>
              <w:rPr>
                <w:rFonts w:ascii="Calibri" w:hAnsi="Calibri"/>
                <w:b/>
                <w:color w:val="141414"/>
                <w:sz w:val="19"/>
              </w:rPr>
              <w:t>Executive</w:t>
            </w:r>
          </w:p>
        </w:tc>
        <w:tc>
          <w:tcPr>
            <w:tcW w:type="dxa" w:w="1360"/>
            <w:vAlign w:val="center"/>
            <w:tcMar>
              <w:top w:w="80" w:type="dxa"/>
              <w:bottom w:w="80" w:type="dxa"/>
              <w:start w:w="120" w:type="dxa"/>
              <w:end w:w="120" w:type="dxa"/>
            </w:tcMar>
            <w:shd w:fill="F2F4F7"/>
          </w:tcPr>
          <w:p>
            <w:pPr>
              <w:spacing w:after="0"/>
            </w:pPr>
            <w:r>
              <w:rPr>
                <w:rFonts w:ascii="Calibri" w:hAnsi="Calibri"/>
                <w:b/>
                <w:color w:val="141414"/>
                <w:sz w:val="19"/>
              </w:rPr>
              <w:t>Auditor</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View global FAIR metrics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100"/>
            <w:vAlign w:val="center"/>
            <w:tcMar>
              <w:top w:w="80" w:type="dxa"/>
              <w:bottom w:w="80" w:type="dxa"/>
              <w:start w:w="120" w:type="dxa"/>
              <w:end w:w="120" w:type="dxa"/>
            </w:tcMar>
          </w:tcPr>
          <w:p>
            <w:pPr>
              <w:spacing w:after="0"/>
            </w:pPr>
            <w:r>
              <w:rPr>
                <w:rFonts w:ascii="Calibri" w:hAnsi="Calibri"/>
                <w:color w:val="141414"/>
                <w:sz w:val="19"/>
              </w:rPr>
              <w:t>No</w:t>
            </w:r>
          </w:p>
        </w:tc>
        <w:tc>
          <w:tcPr>
            <w:tcW w:type="dxa" w:w="1200"/>
            <w:vAlign w:val="center"/>
            <w:tcMar>
              <w:top w:w="80" w:type="dxa"/>
              <w:bottom w:w="80" w:type="dxa"/>
              <w:start w:w="120" w:type="dxa"/>
              <w:end w:w="120" w:type="dxa"/>
            </w:tcMar>
          </w:tcPr>
          <w:p>
            <w:pPr>
              <w:spacing w:after="0"/>
            </w:pPr>
            <w:r>
              <w:rPr>
                <w:rFonts w:ascii="Calibri" w:hAnsi="Calibri"/>
                <w:color w:val="141414"/>
                <w:sz w:val="19"/>
              </w:rPr>
              <w:t>Yes</w:t>
            </w:r>
          </w:p>
        </w:tc>
        <w:tc>
          <w:tcPr>
            <w:tcW w:type="dxa" w:w="1360"/>
            <w:vAlign w:val="center"/>
            <w:tcMar>
              <w:top w:w="80" w:type="dxa"/>
              <w:bottom w:w="80" w:type="dxa"/>
              <w:start w:w="120" w:type="dxa"/>
              <w:end w:w="120" w:type="dxa"/>
            </w:tcMar>
          </w:tcPr>
          <w:p>
            <w:pPr>
              <w:spacing w:after="0"/>
            </w:pPr>
            <w:r>
              <w:rPr>
                <w:rFonts w:ascii="Calibri" w:hAnsi="Calibri"/>
                <w:color w:val="141414"/>
                <w:sz w:val="19"/>
              </w:rPr>
              <w:t>Scoped</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View control graph</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Assigned</w:t>
            </w:r>
          </w:p>
        </w:tc>
        <w:tc>
          <w:tcPr>
            <w:tcW w:type="dxa" w:w="1100"/>
            <w:vAlign w:val="center"/>
            <w:tcMar>
              <w:top w:w="80" w:type="dxa"/>
              <w:bottom w:w="80" w:type="dxa"/>
              <w:start w:w="120" w:type="dxa"/>
              <w:end w:w="120" w:type="dxa"/>
            </w:tcMar>
          </w:tcPr>
          <w:p>
            <w:pPr>
              <w:spacing w:after="0"/>
            </w:pPr>
            <w:r>
              <w:rPr>
                <w:rFonts w:ascii="Calibri" w:hAnsi="Calibri"/>
                <w:color w:val="141414"/>
                <w:sz w:val="19"/>
              </w:rPr>
              <w:t>Assigned vendor</w:t>
            </w:r>
          </w:p>
        </w:tc>
        <w:tc>
          <w:tcPr>
            <w:tcW w:type="dxa" w:w="1200"/>
            <w:vAlign w:val="center"/>
            <w:tcMar>
              <w:top w:w="80" w:type="dxa"/>
              <w:bottom w:w="80" w:type="dxa"/>
              <w:start w:w="120" w:type="dxa"/>
              <w:end w:w="120" w:type="dxa"/>
            </w:tcMar>
          </w:tcPr>
          <w:p>
            <w:pPr>
              <w:spacing w:after="0"/>
            </w:pPr>
            <w:r>
              <w:rPr>
                <w:rFonts w:ascii="Calibri" w:hAnsi="Calibri"/>
                <w:color w:val="141414"/>
                <w:sz w:val="19"/>
              </w:rPr>
              <w:t>Read-only</w:t>
            </w:r>
          </w:p>
        </w:tc>
        <w:tc>
          <w:tcPr>
            <w:tcW w:type="dxa" w:w="1360"/>
            <w:vAlign w:val="center"/>
            <w:tcMar>
              <w:top w:w="80" w:type="dxa"/>
              <w:bottom w:w="80" w:type="dxa"/>
              <w:start w:w="120" w:type="dxa"/>
              <w:end w:w="120" w:type="dxa"/>
            </w:tcMar>
          </w:tcPr>
          <w:p>
            <w:pPr>
              <w:spacing w:after="0"/>
            </w:pPr>
            <w:r>
              <w:rPr>
                <w:rFonts w:ascii="Calibri" w:hAnsi="Calibri"/>
                <w:color w:val="141414"/>
                <w:sz w:val="19"/>
              </w:rPr>
              <w:t>Scoped read-only</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Edit control metadata</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Assigned fields</w:t>
            </w:r>
          </w:p>
        </w:tc>
        <w:tc>
          <w:tcPr>
            <w:tcW w:type="dxa" w:w="1100"/>
            <w:vAlign w:val="center"/>
            <w:tcMar>
              <w:top w:w="80" w:type="dxa"/>
              <w:bottom w:w="80" w:type="dxa"/>
              <w:start w:w="120" w:type="dxa"/>
              <w:end w:w="120" w:type="dxa"/>
            </w:tcMar>
          </w:tcPr>
          <w:p>
            <w:pPr>
              <w:spacing w:after="0"/>
            </w:pPr>
            <w:r>
              <w:rPr>
                <w:rFonts w:ascii="Calibri" w:hAnsi="Calibri"/>
                <w:color w:val="141414"/>
                <w:sz w:val="19"/>
              </w:rPr>
              <w:t>No</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360"/>
            <w:vAlign w:val="center"/>
            <w:tcMar>
              <w:top w:w="80" w:type="dxa"/>
              <w:bottom w:w="80" w:type="dxa"/>
              <w:start w:w="120" w:type="dxa"/>
              <w:end w:w="120" w:type="dxa"/>
            </w:tcMar>
          </w:tcPr>
          <w:p>
            <w:pPr>
              <w:spacing w:after="0"/>
            </w:pPr>
            <w:r>
              <w:rPr>
                <w:rFonts w:ascii="Calibri" w:hAnsi="Calibri"/>
                <w:color w:val="141414"/>
                <w:sz w:val="19"/>
              </w:rPr>
              <w:t>No</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Approve AI mappings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100"/>
            <w:vAlign w:val="center"/>
            <w:tcMar>
              <w:top w:w="80" w:type="dxa"/>
              <w:bottom w:w="80" w:type="dxa"/>
              <w:start w:w="120" w:type="dxa"/>
              <w:end w:w="120" w:type="dxa"/>
            </w:tcMar>
          </w:tcPr>
          <w:p>
            <w:pPr>
              <w:spacing w:after="0"/>
            </w:pPr>
            <w:r>
              <w:rPr>
                <w:rFonts w:ascii="Calibri" w:hAnsi="Calibri"/>
                <w:color w:val="141414"/>
                <w:sz w:val="19"/>
              </w:rPr>
              <w:t>Vendor scope only</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360"/>
            <w:vAlign w:val="center"/>
            <w:tcMar>
              <w:top w:w="80" w:type="dxa"/>
              <w:bottom w:w="80" w:type="dxa"/>
              <w:start w:w="120" w:type="dxa"/>
              <w:end w:w="120" w:type="dxa"/>
            </w:tcMar>
          </w:tcPr>
          <w:p>
            <w:pPr>
              <w:spacing w:after="0"/>
            </w:pPr>
            <w:r>
              <w:rPr>
                <w:rFonts w:ascii="Calibri" w:hAnsi="Calibri"/>
                <w:color w:val="141414"/>
                <w:sz w:val="19"/>
              </w:rPr>
              <w:t>No</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Upload manual evidence</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Assigned</w:t>
            </w:r>
          </w:p>
        </w:tc>
        <w:tc>
          <w:tcPr>
            <w:tcW w:type="dxa" w:w="1100"/>
            <w:vAlign w:val="center"/>
            <w:tcMar>
              <w:top w:w="80" w:type="dxa"/>
              <w:bottom w:w="80" w:type="dxa"/>
              <w:start w:w="120" w:type="dxa"/>
              <w:end w:w="120" w:type="dxa"/>
            </w:tcMar>
          </w:tcPr>
          <w:p>
            <w:pPr>
              <w:spacing w:after="0"/>
            </w:pPr>
            <w:r>
              <w:rPr>
                <w:rFonts w:ascii="Calibri" w:hAnsi="Calibri"/>
                <w:color w:val="141414"/>
                <w:sz w:val="19"/>
              </w:rPr>
              <w:t>Vendor scope</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360"/>
            <w:vAlign w:val="center"/>
            <w:tcMar>
              <w:top w:w="80" w:type="dxa"/>
              <w:bottom w:w="80" w:type="dxa"/>
              <w:start w:w="120" w:type="dxa"/>
              <w:end w:w="120" w:type="dxa"/>
            </w:tcMar>
          </w:tcPr>
          <w:p>
            <w:pPr>
              <w:spacing w:after="0"/>
            </w:pPr>
            <w:r>
              <w:rPr>
                <w:rFonts w:ascii="Calibri" w:hAnsi="Calibri"/>
                <w:color w:val="141414"/>
                <w:sz w:val="19"/>
              </w:rPr>
              <w:t>No</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Manage vendors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1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Read-only</w:t>
            </w:r>
          </w:p>
        </w:tc>
        <w:tc>
          <w:tcPr>
            <w:tcW w:type="dxa" w:w="1360"/>
            <w:vAlign w:val="center"/>
            <w:tcMar>
              <w:top w:w="80" w:type="dxa"/>
              <w:bottom w:w="80" w:type="dxa"/>
              <w:start w:w="120" w:type="dxa"/>
              <w:end w:w="120" w:type="dxa"/>
            </w:tcMar>
          </w:tcPr>
          <w:p>
            <w:pPr>
              <w:spacing w:after="0"/>
            </w:pPr>
            <w:r>
              <w:rPr>
                <w:rFonts w:ascii="Calibri" w:hAnsi="Calibri"/>
                <w:color w:val="141414"/>
                <w:sz w:val="19"/>
              </w:rPr>
              <w:t>Scoped read-only</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Trigger Monte Carlo</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100"/>
            <w:vAlign w:val="center"/>
            <w:tcMar>
              <w:top w:w="80" w:type="dxa"/>
              <w:bottom w:w="80" w:type="dxa"/>
              <w:start w:w="120" w:type="dxa"/>
              <w:end w:w="120" w:type="dxa"/>
            </w:tcMar>
          </w:tcPr>
          <w:p>
            <w:pPr>
              <w:spacing w:after="0"/>
            </w:pPr>
            <w:r>
              <w:rPr>
                <w:rFonts w:ascii="Calibri" w:hAnsi="Calibri"/>
                <w:color w:val="141414"/>
                <w:sz w:val="19"/>
              </w:rPr>
              <w:t>No</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360"/>
            <w:vAlign w:val="center"/>
            <w:tcMar>
              <w:top w:w="80" w:type="dxa"/>
              <w:bottom w:w="80" w:type="dxa"/>
              <w:start w:w="120" w:type="dxa"/>
              <w:end w:w="120" w:type="dxa"/>
            </w:tcMar>
          </w:tcPr>
          <w:p>
            <w:pPr>
              <w:spacing w:after="0"/>
            </w:pPr>
            <w:r>
              <w:rPr>
                <w:rFonts w:ascii="Calibri" w:hAnsi="Calibri"/>
                <w:color w:val="141414"/>
                <w:sz w:val="19"/>
              </w:rPr>
              <w:t>No</w:t>
            </w:r>
          </w:p>
        </w:tc>
      </w:tr>
      <w:tr>
        <w:tc>
          <w:tcPr>
            <w:tcW w:type="dxa" w:w="2500"/>
            <w:vAlign w:val="center"/>
            <w:tcMar>
              <w:top w:w="80" w:type="dxa"/>
              <w:bottom w:w="80" w:type="dxa"/>
              <w:start w:w="120" w:type="dxa"/>
              <w:end w:w="120" w:type="dxa"/>
            </w:tcMar>
          </w:tcPr>
          <w:p>
            <w:pPr>
              <w:spacing w:after="0"/>
            </w:pPr>
            <w:r>
              <w:rPr>
                <w:rFonts w:ascii="Calibri" w:hAnsi="Calibri"/>
                <w:color w:val="141414"/>
                <w:sz w:val="19"/>
              </w:rPr>
              <w:t>Modify guardrails/settings</w:t>
            </w:r>
          </w:p>
        </w:tc>
        <w:tc>
          <w:tcPr>
            <w:tcW w:type="dxa" w:w="1000"/>
            <w:vAlign w:val="center"/>
            <w:tcMar>
              <w:top w:w="80" w:type="dxa"/>
              <w:bottom w:w="80" w:type="dxa"/>
              <w:start w:w="120" w:type="dxa"/>
              <w:end w:w="120" w:type="dxa"/>
            </w:tcMar>
          </w:tcPr>
          <w:p>
            <w:pPr>
              <w:spacing w:after="0"/>
            </w:pPr>
            <w:r>
              <w:rPr>
                <w:rFonts w:ascii="Calibri" w:hAnsi="Calibri"/>
                <w:color w:val="141414"/>
                <w:sz w:val="19"/>
              </w:rPr>
              <w:t>Yes</w:t>
            </w:r>
          </w:p>
        </w:tc>
        <w:tc>
          <w:tcPr>
            <w:tcW w:type="dxa" w:w="1000"/>
            <w:vAlign w:val="center"/>
            <w:tcMar>
              <w:top w:w="80" w:type="dxa"/>
              <w:bottom w:w="80" w:type="dxa"/>
              <w:start w:w="120" w:type="dxa"/>
              <w:end w:w="120" w:type="dxa"/>
            </w:tcMar>
          </w:tcPr>
          <w:p>
            <w:pPr>
              <w:spacing w:after="0"/>
            </w:pPr>
            <w:r>
              <w:rPr>
                <w:rFonts w:ascii="Calibri" w:hAnsi="Calibri"/>
                <w:color w:val="141414"/>
                <w:sz w:val="19"/>
              </w:rPr>
              <w:t>No</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100"/>
            <w:vAlign w:val="center"/>
            <w:tcMar>
              <w:top w:w="80" w:type="dxa"/>
              <w:bottom w:w="80" w:type="dxa"/>
              <w:start w:w="120" w:type="dxa"/>
              <w:end w:w="120" w:type="dxa"/>
            </w:tcMar>
          </w:tcPr>
          <w:p>
            <w:pPr>
              <w:spacing w:after="0"/>
            </w:pPr>
            <w:r>
              <w:rPr>
                <w:rFonts w:ascii="Calibri" w:hAnsi="Calibri"/>
                <w:color w:val="141414"/>
                <w:sz w:val="19"/>
              </w:rPr>
              <w:t>No</w:t>
            </w:r>
          </w:p>
        </w:tc>
        <w:tc>
          <w:tcPr>
            <w:tcW w:type="dxa" w:w="1200"/>
            <w:vAlign w:val="center"/>
            <w:tcMar>
              <w:top w:w="80" w:type="dxa"/>
              <w:bottom w:w="80" w:type="dxa"/>
              <w:start w:w="120" w:type="dxa"/>
              <w:end w:w="120" w:type="dxa"/>
            </w:tcMar>
          </w:tcPr>
          <w:p>
            <w:pPr>
              <w:spacing w:after="0"/>
            </w:pPr>
            <w:r>
              <w:rPr>
                <w:rFonts w:ascii="Calibri" w:hAnsi="Calibri"/>
                <w:color w:val="141414"/>
                <w:sz w:val="19"/>
              </w:rPr>
              <w:t>No</w:t>
            </w:r>
          </w:p>
        </w:tc>
        <w:tc>
          <w:tcPr>
            <w:tcW w:type="dxa" w:w="1360"/>
            <w:vAlign w:val="center"/>
            <w:tcMar>
              <w:top w:w="80" w:type="dxa"/>
              <w:bottom w:w="80" w:type="dxa"/>
              <w:start w:w="120" w:type="dxa"/>
              <w:end w:w="120" w:type="dxa"/>
            </w:tcMar>
          </w:tcPr>
          <w:p>
            <w:pPr>
              <w:spacing w:after="0"/>
            </w:pPr>
            <w:r>
              <w:rPr>
                <w:rFonts w:ascii="Calibri" w:hAnsi="Calibri"/>
                <w:color w:val="141414"/>
                <w:sz w:val="19"/>
              </w:rPr>
              <w:t>No</w:t>
            </w:r>
          </w:p>
        </w:tc>
      </w:tr>
    </w:tbl>
    <w:p>
      <w:pPr>
        <w:spacing w:after="40"/>
      </w:pPr>
    </w:p>
    <w:p>
      <w:pPr>
        <w:pStyle w:val="Heading2"/>
        <w:keepNext/>
        <w:spacing w:before="240" w:after="120"/>
      </w:pPr>
      <w:r>
        <w:rPr>
          <w:rFonts w:ascii="Calibri" w:hAnsi="Calibri"/>
          <w:b/>
          <w:color w:val="2E74B5"/>
          <w:sz w:val="26"/>
        </w:rPr>
        <w:t>9.4 Trust UX</w:t>
      </w:r>
    </w:p>
    <w:p>
      <w:pPr>
        <w:spacing w:after="120" w:line="264" w:lineRule="auto"/>
      </w:pPr>
      <w:r>
        <w:rPr>
          <w:rFonts w:ascii="Calibri" w:hAnsi="Calibri"/>
          <w:color w:val="141414"/>
          <w:sz w:val="22"/>
        </w:rPr>
        <w:t>Every AI-assisted decision should show confidence, evidence source, raw context, graph path, generated reasoning, middleware validation result, and human approval state. For high-risk actions, the UI should introduce deliberate friction: typed confirmation, second approver, or change-window enforcement.</w:t>
      </w:r>
    </w:p>
    <w:p>
      <w:pPr>
        <w:pStyle w:val="Heading1"/>
        <w:keepNext/>
        <w:spacing w:before="320" w:after="160"/>
      </w:pPr>
      <w:r>
        <w:rPr>
          <w:rFonts w:ascii="Calibri" w:hAnsi="Calibri"/>
          <w:b/>
          <w:color w:val="2E74B5"/>
          <w:sz w:val="32"/>
        </w:rPr>
        <w:t>10. Security, Privacy, Guardrails, and Operations</w:t>
      </w:r>
    </w:p>
    <w:p>
      <w:pPr>
        <w:pStyle w:val="Heading2"/>
        <w:keepNext/>
        <w:spacing w:before="240" w:after="120"/>
      </w:pPr>
      <w:r>
        <w:rPr>
          <w:rFonts w:ascii="Calibri" w:hAnsi="Calibri"/>
          <w:b/>
          <w:color w:val="2E74B5"/>
          <w:sz w:val="26"/>
        </w:rPr>
        <w:t>10.1 AI Write Guardrails</w:t>
      </w:r>
    </w:p>
    <w:tbl>
      <w:tblGrid>
        <w:gridCol w:w="2600"/>
        <w:gridCol w:w="6760"/>
      </w:tblGrid>
      <w:tblPr>
        <w:tblStyle w:val="TableGrid"/>
        <w:tblW w:type="dxa" w:w="9360"/>
        <w:tblLayout w:type="fixed"/>
        <w:tblLook w:firstColumn="1" w:firstRow="1" w:lastColumn="0" w:lastRow="0" w:noHBand="0" w:noVBand="1" w:val="04A0"/>
        <w:jc w:val="center"/>
        <w:tblInd w:w="120" w:type="dxa"/>
      </w:tblPr>
      <w:tr>
        <w:tc>
          <w:tcPr>
            <w:tcW w:type="dxa" w:w="2600"/>
            <w:vAlign w:val="center"/>
            <w:tcMar>
              <w:top w:w="80" w:type="dxa"/>
              <w:bottom w:w="80" w:type="dxa"/>
              <w:start w:w="120" w:type="dxa"/>
              <w:end w:w="120" w:type="dxa"/>
            </w:tcMar>
            <w:shd w:fill="F2F4F7"/>
          </w:tcPr>
          <w:p>
            <w:pPr>
              <w:spacing w:after="0"/>
            </w:pPr>
            <w:r>
              <w:rPr>
                <w:rFonts w:ascii="Calibri" w:hAnsi="Calibri"/>
                <w:b/>
                <w:color w:val="141414"/>
                <w:sz w:val="19"/>
              </w:rPr>
              <w:t>Guardrail</w:t>
            </w:r>
          </w:p>
        </w:tc>
        <w:tc>
          <w:tcPr>
            <w:tcW w:type="dxa" w:w="6760"/>
            <w:vAlign w:val="center"/>
            <w:tcMar>
              <w:top w:w="80" w:type="dxa"/>
              <w:bottom w:w="80" w:type="dxa"/>
              <w:start w:w="120" w:type="dxa"/>
              <w:end w:w="120" w:type="dxa"/>
            </w:tcMar>
            <w:shd w:fill="F2F4F7"/>
          </w:tcPr>
          <w:p>
            <w:pPr>
              <w:spacing w:after="0"/>
            </w:pPr>
            <w:r>
              <w:rPr>
                <w:rFonts w:ascii="Calibri" w:hAnsi="Calibri"/>
                <w:b/>
                <w:color w:val="141414"/>
                <w:sz w:val="19"/>
              </w:rPr>
              <w:t>Requirement</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No direct DB access</w:t>
            </w:r>
          </w:p>
        </w:tc>
        <w:tc>
          <w:tcPr>
            <w:tcW w:type="dxa" w:w="6760"/>
            <w:vAlign w:val="center"/>
            <w:tcMar>
              <w:top w:w="80" w:type="dxa"/>
              <w:bottom w:w="80" w:type="dxa"/>
              <w:start w:w="120" w:type="dxa"/>
              <w:end w:w="120" w:type="dxa"/>
            </w:tcMar>
          </w:tcPr>
          <w:p>
            <w:pPr>
              <w:spacing w:after="0"/>
            </w:pPr>
            <w:r>
              <w:rPr>
                <w:rFonts w:ascii="Calibri" w:hAnsi="Calibri"/>
                <w:color w:val="141414"/>
                <w:sz w:val="19"/>
              </w:rPr>
              <w:t>Agents cannot connect to Neptune. They return structured JSON to middleware only.</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Agent-specific identities</w:t>
            </w:r>
          </w:p>
        </w:tc>
        <w:tc>
          <w:tcPr>
            <w:tcW w:type="dxa" w:w="6760"/>
            <w:vAlign w:val="center"/>
            <w:tcMar>
              <w:top w:w="80" w:type="dxa"/>
              <w:bottom w:w="80" w:type="dxa"/>
              <w:start w:w="120" w:type="dxa"/>
              <w:end w:w="120" w:type="dxa"/>
            </w:tcMar>
          </w:tcPr>
          <w:p>
            <w:pPr>
              <w:spacing w:after="0"/>
            </w:pPr>
            <w:r>
              <w:rPr>
                <w:rFonts w:ascii="Calibri" w:hAnsi="Calibri"/>
                <w:color w:val="141414"/>
                <w:sz w:val="19"/>
              </w:rPr>
              <w:t>Each agent has a service account and mapped IAM role with least-privilege permissions.</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Action allow-list</w:t>
            </w:r>
          </w:p>
        </w:tc>
        <w:tc>
          <w:tcPr>
            <w:tcW w:type="dxa" w:w="6760"/>
            <w:vAlign w:val="center"/>
            <w:tcMar>
              <w:top w:w="80" w:type="dxa"/>
              <w:bottom w:w="80" w:type="dxa"/>
              <w:start w:w="120" w:type="dxa"/>
              <w:end w:w="120" w:type="dxa"/>
            </w:tcMar>
          </w:tcPr>
          <w:p>
            <w:pPr>
              <w:spacing w:after="0"/>
            </w:pPr>
            <w:r>
              <w:rPr>
                <w:rFonts w:ascii="Calibri" w:hAnsi="Calibri"/>
                <w:color w:val="141414"/>
                <w:sz w:val="19"/>
              </w:rPr>
              <w:t>Middleware permits only approved actions per agent, such as CREATE_EDGE:PROVED_BY for Evidence Agent.</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Global deny-list</w:t>
            </w:r>
          </w:p>
        </w:tc>
        <w:tc>
          <w:tcPr>
            <w:tcW w:type="dxa" w:w="6760"/>
            <w:vAlign w:val="center"/>
            <w:tcMar>
              <w:top w:w="80" w:type="dxa"/>
              <w:bottom w:w="80" w:type="dxa"/>
              <w:start w:w="120" w:type="dxa"/>
              <w:end w:w="120" w:type="dxa"/>
            </w:tcMar>
          </w:tcPr>
          <w:p>
            <w:pPr>
              <w:spacing w:after="0"/>
            </w:pPr>
            <w:r>
              <w:rPr>
                <w:rFonts w:ascii="Calibri" w:hAnsi="Calibri"/>
                <w:color w:val="141414"/>
                <w:sz w:val="19"/>
              </w:rPr>
              <w:t>DELETE_NODE:CONTROL, unbounded updates, schema-altering mutations, and tenant changes are rejected.</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Schema validation</w:t>
            </w:r>
          </w:p>
        </w:tc>
        <w:tc>
          <w:tcPr>
            <w:tcW w:type="dxa" w:w="6760"/>
            <w:vAlign w:val="center"/>
            <w:tcMar>
              <w:top w:w="80" w:type="dxa"/>
              <w:bottom w:w="80" w:type="dxa"/>
              <w:start w:w="120" w:type="dxa"/>
              <w:end w:w="120" w:type="dxa"/>
            </w:tcMar>
          </w:tcPr>
          <w:p>
            <w:pPr>
              <w:spacing w:after="0"/>
            </w:pPr>
            <w:r>
              <w:rPr>
                <w:rFonts w:ascii="Calibri" w:hAnsi="Calibri"/>
                <w:color w:val="141414"/>
                <w:sz w:val="19"/>
              </w:rPr>
              <w:t>Every AI output must validate before query construction.</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Traversal limits</w:t>
            </w:r>
          </w:p>
        </w:tc>
        <w:tc>
          <w:tcPr>
            <w:tcW w:type="dxa" w:w="6760"/>
            <w:vAlign w:val="center"/>
            <w:tcMar>
              <w:top w:w="80" w:type="dxa"/>
              <w:bottom w:w="80" w:type="dxa"/>
              <w:start w:w="120" w:type="dxa"/>
              <w:end w:w="120" w:type="dxa"/>
            </w:tcMar>
          </w:tcPr>
          <w:p>
            <w:pPr>
              <w:spacing w:after="0"/>
            </w:pPr>
            <w:r>
              <w:rPr>
                <w:rFonts w:ascii="Calibri" w:hAnsi="Calibri"/>
                <w:color w:val="141414"/>
                <w:sz w:val="19"/>
              </w:rPr>
              <w:t>Middleware-generated queries must target explicit IDs and enforce maximum hop counts.</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Human-in-the-loop</w:t>
            </w:r>
          </w:p>
        </w:tc>
        <w:tc>
          <w:tcPr>
            <w:tcW w:type="dxa" w:w="6760"/>
            <w:vAlign w:val="center"/>
            <w:tcMar>
              <w:top w:w="80" w:type="dxa"/>
              <w:bottom w:w="80" w:type="dxa"/>
              <w:start w:w="120" w:type="dxa"/>
              <w:end w:w="120" w:type="dxa"/>
            </w:tcMar>
          </w:tcPr>
          <w:p>
            <w:pPr>
              <w:spacing w:after="0"/>
            </w:pPr>
            <w:r>
              <w:rPr>
                <w:rFonts w:ascii="Calibri" w:hAnsi="Calibri"/>
                <w:color w:val="141414"/>
                <w:sz w:val="19"/>
              </w:rPr>
              <w:t>High-risk writes and low-confidence mappings remain PENDING_APPROVAL.</w:t>
            </w:r>
          </w:p>
        </w:tc>
      </w:tr>
      <w:tr>
        <w:tc>
          <w:tcPr>
            <w:tcW w:type="dxa" w:w="2600"/>
            <w:vAlign w:val="center"/>
            <w:tcMar>
              <w:top w:w="80" w:type="dxa"/>
              <w:bottom w:w="80" w:type="dxa"/>
              <w:start w:w="120" w:type="dxa"/>
              <w:end w:w="120" w:type="dxa"/>
            </w:tcMar>
          </w:tcPr>
          <w:p>
            <w:pPr>
              <w:spacing w:after="0"/>
            </w:pPr>
            <w:r>
              <w:rPr>
                <w:rFonts w:ascii="Calibri" w:hAnsi="Calibri"/>
                <w:color w:val="141414"/>
                <w:sz w:val="19"/>
              </w:rPr>
              <w:t>Immutable audit</w:t>
            </w:r>
          </w:p>
        </w:tc>
        <w:tc>
          <w:tcPr>
            <w:tcW w:type="dxa" w:w="6760"/>
            <w:vAlign w:val="center"/>
            <w:tcMar>
              <w:top w:w="80" w:type="dxa"/>
              <w:bottom w:w="80" w:type="dxa"/>
              <w:start w:w="120" w:type="dxa"/>
              <w:end w:w="120" w:type="dxa"/>
            </w:tcMar>
          </w:tcPr>
          <w:p>
            <w:pPr>
              <w:spacing w:after="0"/>
            </w:pPr>
            <w:r>
              <w:rPr>
                <w:rFonts w:ascii="Calibri" w:hAnsi="Calibri"/>
                <w:color w:val="141414"/>
                <w:sz w:val="19"/>
              </w:rPr>
              <w:t>Prompt, context, output, action verdict, and hash are stored in a locked evidence log.</w:t>
            </w:r>
          </w:p>
        </w:tc>
      </w:tr>
    </w:tbl>
    <w:p>
      <w:pPr>
        <w:spacing w:after="40"/>
      </w:pPr>
    </w:p>
    <w:p>
      <w:pPr>
        <w:pStyle w:val="Heading2"/>
        <w:keepNext/>
        <w:spacing w:before="240" w:after="120"/>
      </w:pPr>
      <w:r>
        <w:rPr>
          <w:rFonts w:ascii="Calibri" w:hAnsi="Calibri"/>
          <w:b/>
          <w:color w:val="2E74B5"/>
          <w:sz w:val="26"/>
        </w:rPr>
        <w:t>10.2 Data Isolation and Residency</w:t>
      </w:r>
    </w:p>
    <w:p>
      <w:pPr>
        <w:spacing w:after="80" w:line="280" w:lineRule="auto"/>
        <w:ind w:left="360" w:hanging="216"/>
      </w:pPr>
      <w:r>
        <w:rPr>
          <w:rFonts w:ascii="Calibri" w:hAnsi="Calibri"/>
          <w:color w:val="141414"/>
          <w:sz w:val="22"/>
        </w:rPr>
        <w:t xml:space="preserve">- </w:t>
      </w:r>
      <w:r>
        <w:rPr>
          <w:rFonts w:ascii="Calibri" w:hAnsi="Calibri"/>
          <w:color w:val="141414"/>
          <w:sz w:val="22"/>
        </w:rPr>
        <w:t>Every data object must include tenant_id and business-unit scope where applicable.</w:t>
      </w:r>
    </w:p>
    <w:p>
      <w:pPr>
        <w:spacing w:after="80" w:line="280" w:lineRule="auto"/>
        <w:ind w:left="360" w:hanging="216"/>
      </w:pPr>
      <w:r>
        <w:rPr>
          <w:rFonts w:ascii="Calibri" w:hAnsi="Calibri"/>
          <w:color w:val="141414"/>
          <w:sz w:val="22"/>
        </w:rPr>
        <w:t xml:space="preserve">- </w:t>
      </w:r>
      <w:r>
        <w:rPr>
          <w:rFonts w:ascii="Calibri" w:hAnsi="Calibri"/>
          <w:color w:val="141414"/>
          <w:sz w:val="22"/>
        </w:rPr>
        <w:t>Middleware must inject tenant_id into every query and reject user-supplied tenant overrides.</w:t>
      </w:r>
    </w:p>
    <w:p>
      <w:pPr>
        <w:spacing w:after="80" w:line="280" w:lineRule="auto"/>
        <w:ind w:left="360" w:hanging="216"/>
      </w:pPr>
      <w:r>
        <w:rPr>
          <w:rFonts w:ascii="Calibri" w:hAnsi="Calibri"/>
          <w:color w:val="141414"/>
          <w:sz w:val="22"/>
        </w:rPr>
        <w:t xml:space="preserve">- </w:t>
      </w:r>
      <w:r>
        <w:rPr>
          <w:rFonts w:ascii="Calibri" w:hAnsi="Calibri"/>
          <w:color w:val="141414"/>
          <w:sz w:val="22"/>
        </w:rPr>
        <w:t>Evidence buckets should be partitioned by tenant and environment, with KMS keys and bucket policies scoped accordingly.</w:t>
      </w:r>
    </w:p>
    <w:p>
      <w:pPr>
        <w:spacing w:after="80" w:line="280" w:lineRule="auto"/>
        <w:ind w:left="360" w:hanging="216"/>
      </w:pPr>
      <w:r>
        <w:rPr>
          <w:rFonts w:ascii="Calibri" w:hAnsi="Calibri"/>
          <w:color w:val="141414"/>
          <w:sz w:val="22"/>
        </w:rPr>
        <w:t xml:space="preserve">- </w:t>
      </w:r>
      <w:r>
        <w:rPr>
          <w:rFonts w:ascii="Calibri" w:hAnsi="Calibri"/>
          <w:color w:val="141414"/>
          <w:sz w:val="22"/>
        </w:rPr>
        <w:t>Data residency must be configurable for regulated customers; model processing regions need explicit approval.</w:t>
      </w:r>
    </w:p>
    <w:p>
      <w:pPr>
        <w:spacing w:after="80" w:line="280" w:lineRule="auto"/>
        <w:ind w:left="360" w:hanging="216"/>
      </w:pPr>
      <w:r>
        <w:rPr>
          <w:rFonts w:ascii="Calibri" w:hAnsi="Calibri"/>
          <w:color w:val="141414"/>
          <w:sz w:val="22"/>
        </w:rPr>
        <w:t xml:space="preserve">- </w:t>
      </w:r>
      <w:r>
        <w:rPr>
          <w:rFonts w:ascii="Calibri" w:hAnsi="Calibri"/>
          <w:color w:val="141414"/>
          <w:sz w:val="22"/>
        </w:rPr>
        <w:t>PII, secrets, and sensitive evidence should be redacted or tokenized before AI context injection unless explicitly required.</w:t>
      </w:r>
    </w:p>
    <w:p>
      <w:pPr>
        <w:pStyle w:val="Heading2"/>
        <w:keepNext/>
        <w:spacing w:before="240" w:after="120"/>
      </w:pPr>
      <w:r>
        <w:rPr>
          <w:rFonts w:ascii="Calibri" w:hAnsi="Calibri"/>
          <w:b/>
          <w:color w:val="2E74B5"/>
          <w:sz w:val="26"/>
        </w:rPr>
        <w:t>10.3 Agent Lifecycle Monitoring</w:t>
      </w:r>
    </w:p>
    <w:p>
      <w:pPr>
        <w:spacing w:after="80" w:line="280" w:lineRule="auto"/>
        <w:ind w:left="360" w:hanging="216"/>
      </w:pPr>
      <w:r>
        <w:rPr>
          <w:rFonts w:ascii="Calibri" w:hAnsi="Calibri"/>
          <w:color w:val="141414"/>
          <w:sz w:val="22"/>
        </w:rPr>
        <w:t xml:space="preserve">- </w:t>
      </w:r>
      <w:r>
        <w:rPr>
          <w:rFonts w:ascii="Calibri" w:hAnsi="Calibri"/>
          <w:color w:val="141414"/>
          <w:sz w:val="22"/>
        </w:rPr>
        <w:t>Track tokens, latency, tool-call rate, graph traversal depth, rejection rate, approval rate, and hallucination/schema-failure rate by agent and model version.</w:t>
      </w:r>
    </w:p>
    <w:p>
      <w:pPr>
        <w:spacing w:after="80" w:line="280" w:lineRule="auto"/>
        <w:ind w:left="360" w:hanging="216"/>
      </w:pPr>
      <w:r>
        <w:rPr>
          <w:rFonts w:ascii="Calibri" w:hAnsi="Calibri"/>
          <w:color w:val="141414"/>
          <w:sz w:val="22"/>
        </w:rPr>
        <w:t xml:space="preserve">- </w:t>
      </w:r>
      <w:r>
        <w:rPr>
          <w:rFonts w:ascii="Calibri" w:hAnsi="Calibri"/>
          <w:color w:val="141414"/>
          <w:sz w:val="22"/>
        </w:rPr>
        <w:t>Implement circuit breakers for recursive query generation, abnormal read volume, repeated schema failures, or unauthorized action attempts.</w:t>
      </w:r>
    </w:p>
    <w:p>
      <w:pPr>
        <w:spacing w:after="80" w:line="280" w:lineRule="auto"/>
        <w:ind w:left="360" w:hanging="216"/>
      </w:pPr>
      <w:r>
        <w:rPr>
          <w:rFonts w:ascii="Calibri" w:hAnsi="Calibri"/>
          <w:color w:val="141414"/>
          <w:sz w:val="22"/>
        </w:rPr>
        <w:t xml:space="preserve">- </w:t>
      </w:r>
      <w:r>
        <w:rPr>
          <w:rFonts w:ascii="Calibri" w:hAnsi="Calibri"/>
          <w:color w:val="141414"/>
          <w:sz w:val="22"/>
        </w:rPr>
        <w:t>Maintain Agent nodes with lifecycle_status values such as ACTIVE, CANARY, DEPRECATED, RETIRED, and DISABLED.</w:t>
      </w:r>
    </w:p>
    <w:p>
      <w:pPr>
        <w:spacing w:after="80" w:line="280" w:lineRule="auto"/>
        <w:ind w:left="360" w:hanging="216"/>
      </w:pPr>
      <w:r>
        <w:rPr>
          <w:rFonts w:ascii="Calibri" w:hAnsi="Calibri"/>
          <w:color w:val="141414"/>
          <w:sz w:val="22"/>
        </w:rPr>
        <w:t xml:space="preserve">- </w:t>
      </w:r>
      <w:r>
        <w:rPr>
          <w:rFonts w:ascii="Calibri" w:hAnsi="Calibri"/>
          <w:color w:val="141414"/>
          <w:sz w:val="22"/>
        </w:rPr>
        <w:t>When a model version is retired or found defective, query EVALUATED_BY edges to identify affected controls and route them for re-review.</w:t>
      </w:r>
    </w:p>
    <w:p>
      <w:pPr>
        <w:pStyle w:val="Heading2"/>
        <w:keepNext/>
        <w:spacing w:before="240" w:after="120"/>
      </w:pPr>
      <w:r>
        <w:rPr>
          <w:rFonts w:ascii="Calibri" w:hAnsi="Calibri"/>
          <w:b/>
          <w:color w:val="2E74B5"/>
          <w:sz w:val="26"/>
        </w:rPr>
        <w:t>10.4 BCP/DR and Operational Readiness</w:t>
      </w:r>
    </w:p>
    <w:tbl>
      <w:tblGrid>
        <w:gridCol w:w="2300"/>
        <w:gridCol w:w="7060"/>
      </w:tblGrid>
      <w:tblPr>
        <w:tblStyle w:val="TableGrid"/>
        <w:tblW w:type="dxa" w:w="9360"/>
        <w:tblLayout w:type="fixed"/>
        <w:tblLook w:firstColumn="1" w:firstRow="1" w:lastColumn="0" w:lastRow="0" w:noHBand="0" w:noVBand="1" w:val="04A0"/>
        <w:jc w:val="center"/>
        <w:tblInd w:w="120" w:type="dxa"/>
      </w:tblPr>
      <w:tr>
        <w:tc>
          <w:tcPr>
            <w:tcW w:type="dxa" w:w="2300"/>
            <w:vAlign w:val="center"/>
            <w:tcMar>
              <w:top w:w="80" w:type="dxa"/>
              <w:bottom w:w="80" w:type="dxa"/>
              <w:start w:w="120" w:type="dxa"/>
              <w:end w:w="120" w:type="dxa"/>
            </w:tcMar>
            <w:shd w:fill="F2F4F7"/>
          </w:tcPr>
          <w:p>
            <w:pPr>
              <w:spacing w:after="0"/>
            </w:pPr>
            <w:r>
              <w:rPr>
                <w:rFonts w:ascii="Calibri" w:hAnsi="Calibri"/>
                <w:b/>
                <w:color w:val="141414"/>
                <w:sz w:val="19"/>
              </w:rPr>
              <w:t>Area</w:t>
            </w:r>
          </w:p>
        </w:tc>
        <w:tc>
          <w:tcPr>
            <w:tcW w:type="dxa" w:w="7060"/>
            <w:vAlign w:val="center"/>
            <w:tcMar>
              <w:top w:w="80" w:type="dxa"/>
              <w:bottom w:w="80" w:type="dxa"/>
              <w:start w:w="120" w:type="dxa"/>
              <w:end w:w="120" w:type="dxa"/>
            </w:tcMar>
            <w:shd w:fill="F2F4F7"/>
          </w:tcPr>
          <w:p>
            <w:pPr>
              <w:spacing w:after="0"/>
            </w:pPr>
            <w:r>
              <w:rPr>
                <w:rFonts w:ascii="Calibri" w:hAnsi="Calibri"/>
                <w:b/>
                <w:color w:val="141414"/>
                <w:sz w:val="19"/>
              </w:rPr>
              <w:t>Requirement</w:t>
            </w:r>
          </w:p>
        </w:tc>
      </w:tr>
      <w:tr>
        <w:tc>
          <w:tcPr>
            <w:tcW w:type="dxa" w:w="2300"/>
            <w:vAlign w:val="center"/>
            <w:tcMar>
              <w:top w:w="80" w:type="dxa"/>
              <w:bottom w:w="80" w:type="dxa"/>
              <w:start w:w="120" w:type="dxa"/>
              <w:end w:w="120" w:type="dxa"/>
            </w:tcMar>
          </w:tcPr>
          <w:p>
            <w:pPr>
              <w:spacing w:after="0"/>
            </w:pPr>
            <w:r>
              <w:rPr>
                <w:rFonts w:ascii="Calibri" w:hAnsi="Calibri"/>
                <w:color w:val="141414"/>
                <w:sz w:val="19"/>
              </w:rPr>
              <w:t>Recovery objectives</w:t>
            </w:r>
          </w:p>
        </w:tc>
        <w:tc>
          <w:tcPr>
            <w:tcW w:type="dxa" w:w="7060"/>
            <w:vAlign w:val="center"/>
            <w:tcMar>
              <w:top w:w="80" w:type="dxa"/>
              <w:bottom w:w="80" w:type="dxa"/>
              <w:start w:w="120" w:type="dxa"/>
              <w:end w:w="120" w:type="dxa"/>
            </w:tcMar>
          </w:tcPr>
          <w:p>
            <w:pPr>
              <w:spacing w:after="0"/>
            </w:pPr>
            <w:r>
              <w:rPr>
                <w:rFonts w:ascii="Calibri" w:hAnsi="Calibri"/>
                <w:color w:val="141414"/>
                <w:sz w:val="19"/>
              </w:rPr>
              <w:t>Define RPO and RTO for Neptune, evidence store, orchestration hub, and UI before production.</w:t>
            </w:r>
          </w:p>
        </w:tc>
      </w:tr>
      <w:tr>
        <w:tc>
          <w:tcPr>
            <w:tcW w:type="dxa" w:w="2300"/>
            <w:vAlign w:val="center"/>
            <w:tcMar>
              <w:top w:w="80" w:type="dxa"/>
              <w:bottom w:w="80" w:type="dxa"/>
              <w:start w:w="120" w:type="dxa"/>
              <w:end w:w="120" w:type="dxa"/>
            </w:tcMar>
          </w:tcPr>
          <w:p>
            <w:pPr>
              <w:spacing w:after="0"/>
            </w:pPr>
            <w:r>
              <w:rPr>
                <w:rFonts w:ascii="Calibri" w:hAnsi="Calibri"/>
                <w:color w:val="141414"/>
                <w:sz w:val="19"/>
              </w:rPr>
              <w:t>Fallback mode</w:t>
            </w:r>
          </w:p>
        </w:tc>
        <w:tc>
          <w:tcPr>
            <w:tcW w:type="dxa" w:w="7060"/>
            <w:vAlign w:val="center"/>
            <w:tcMar>
              <w:top w:w="80" w:type="dxa"/>
              <w:bottom w:w="80" w:type="dxa"/>
              <w:start w:w="120" w:type="dxa"/>
              <w:end w:w="120" w:type="dxa"/>
            </w:tcMar>
          </w:tcPr>
          <w:p>
            <w:pPr>
              <w:spacing w:after="0"/>
            </w:pPr>
            <w:r>
              <w:rPr>
                <w:rFonts w:ascii="Calibri" w:hAnsi="Calibri"/>
                <w:color w:val="141414"/>
                <w:sz w:val="19"/>
              </w:rPr>
              <w:t>If KMS Text-to-Graph fails repeatedly, degrade to guided search and open a support ticket with failed prompts attached.</w:t>
            </w:r>
          </w:p>
        </w:tc>
      </w:tr>
      <w:tr>
        <w:tc>
          <w:tcPr>
            <w:tcW w:type="dxa" w:w="2300"/>
            <w:vAlign w:val="center"/>
            <w:tcMar>
              <w:top w:w="80" w:type="dxa"/>
              <w:bottom w:w="80" w:type="dxa"/>
              <w:start w:w="120" w:type="dxa"/>
              <w:end w:w="120" w:type="dxa"/>
            </w:tcMar>
          </w:tcPr>
          <w:p>
            <w:pPr>
              <w:spacing w:after="0"/>
            </w:pPr>
            <w:r>
              <w:rPr>
                <w:rFonts w:ascii="Calibri" w:hAnsi="Calibri"/>
                <w:color w:val="141414"/>
                <w:sz w:val="19"/>
              </w:rPr>
              <w:t>Control-owner enablement</w:t>
            </w:r>
          </w:p>
        </w:tc>
        <w:tc>
          <w:tcPr>
            <w:tcW w:type="dxa" w:w="7060"/>
            <w:vAlign w:val="center"/>
            <w:tcMar>
              <w:top w:w="80" w:type="dxa"/>
              <w:bottom w:w="80" w:type="dxa"/>
              <w:start w:w="120" w:type="dxa"/>
              <w:end w:w="120" w:type="dxa"/>
            </w:tcMar>
          </w:tcPr>
          <w:p>
            <w:pPr>
              <w:spacing w:after="0"/>
            </w:pPr>
            <w:r>
              <w:rPr>
                <w:rFonts w:ascii="Calibri" w:hAnsi="Calibri"/>
                <w:color w:val="141414"/>
                <w:sz w:val="19"/>
              </w:rPr>
              <w:t>Provide daily digest and direct task links instead of forcing owners to live inside the dashboard.</w:t>
            </w:r>
          </w:p>
        </w:tc>
      </w:tr>
      <w:tr>
        <w:tc>
          <w:tcPr>
            <w:tcW w:type="dxa" w:w="2300"/>
            <w:vAlign w:val="center"/>
            <w:tcMar>
              <w:top w:w="80" w:type="dxa"/>
              <w:bottom w:w="80" w:type="dxa"/>
              <w:start w:w="120" w:type="dxa"/>
              <w:end w:w="120" w:type="dxa"/>
            </w:tcMar>
          </w:tcPr>
          <w:p>
            <w:pPr>
              <w:spacing w:after="0"/>
            </w:pPr>
            <w:r>
              <w:rPr>
                <w:rFonts w:ascii="Calibri" w:hAnsi="Calibri"/>
                <w:color w:val="141414"/>
                <w:sz w:val="19"/>
              </w:rPr>
              <w:t>SLA model</w:t>
            </w:r>
          </w:p>
        </w:tc>
        <w:tc>
          <w:tcPr>
            <w:tcW w:type="dxa" w:w="7060"/>
            <w:vAlign w:val="center"/>
            <w:tcMar>
              <w:top w:w="80" w:type="dxa"/>
              <w:bottom w:w="80" w:type="dxa"/>
              <w:start w:w="120" w:type="dxa"/>
              <w:end w:w="120" w:type="dxa"/>
            </w:tcMar>
          </w:tcPr>
          <w:p>
            <w:pPr>
              <w:spacing w:after="0"/>
            </w:pPr>
            <w:r>
              <w:rPr>
                <w:rFonts w:ascii="Calibri" w:hAnsi="Calibri"/>
                <w:color w:val="141414"/>
                <w:sz w:val="19"/>
              </w:rPr>
              <w:t>Tier 1 control failure should page appropriate owners quickly; Tier 3 remediation may be ticket-based or automated.</w:t>
            </w:r>
          </w:p>
        </w:tc>
      </w:tr>
      <w:tr>
        <w:tc>
          <w:tcPr>
            <w:tcW w:type="dxa" w:w="2300"/>
            <w:vAlign w:val="center"/>
            <w:tcMar>
              <w:top w:w="80" w:type="dxa"/>
              <w:bottom w:w="80" w:type="dxa"/>
              <w:start w:w="120" w:type="dxa"/>
              <w:end w:w="120" w:type="dxa"/>
            </w:tcMar>
          </w:tcPr>
          <w:p>
            <w:pPr>
              <w:spacing w:after="0"/>
            </w:pPr>
            <w:r>
              <w:rPr>
                <w:rFonts w:ascii="Calibri" w:hAnsi="Calibri"/>
                <w:color w:val="141414"/>
                <w:sz w:val="19"/>
              </w:rPr>
              <w:t>Day 2 runbook</w:t>
            </w:r>
          </w:p>
        </w:tc>
        <w:tc>
          <w:tcPr>
            <w:tcW w:type="dxa" w:w="7060"/>
            <w:vAlign w:val="center"/>
            <w:tcMar>
              <w:top w:w="80" w:type="dxa"/>
              <w:bottom w:w="80" w:type="dxa"/>
              <w:start w:w="120" w:type="dxa"/>
              <w:end w:w="120" w:type="dxa"/>
            </w:tcMar>
          </w:tcPr>
          <w:p>
            <w:pPr>
              <w:spacing w:after="0"/>
            </w:pPr>
            <w:r>
              <w:rPr>
                <w:rFonts w:ascii="Calibri" w:hAnsi="Calibri"/>
                <w:color w:val="141414"/>
                <w:sz w:val="19"/>
              </w:rPr>
              <w:t>Document support ownership, connector failures, evidence sync failures, model rollback, and graph repair procedures.</w:t>
            </w:r>
          </w:p>
        </w:tc>
      </w:tr>
    </w:tbl>
    <w:p>
      <w:pPr>
        <w:spacing w:after="40"/>
      </w:pPr>
    </w:p>
    <w:p>
      <w:pPr>
        <w:pStyle w:val="Heading1"/>
        <w:keepNext/>
        <w:spacing w:before="320" w:after="160"/>
      </w:pPr>
      <w:r>
        <w:rPr>
          <w:rFonts w:ascii="Calibri" w:hAnsi="Calibri"/>
          <w:b/>
          <w:color w:val="2E74B5"/>
          <w:sz w:val="32"/>
        </w:rPr>
        <w:t>11. Delivery Plan and Acceptance Criteria</w:t>
      </w:r>
    </w:p>
    <w:p>
      <w:pPr>
        <w:pStyle w:val="Heading2"/>
        <w:keepNext/>
        <w:spacing w:before="240" w:after="120"/>
      </w:pPr>
      <w:r>
        <w:rPr>
          <w:rFonts w:ascii="Calibri" w:hAnsi="Calibri"/>
          <w:b/>
          <w:color w:val="2E74B5"/>
          <w:sz w:val="26"/>
        </w:rPr>
        <w:t>11.1 Phased Delivery</w:t>
      </w:r>
    </w:p>
    <w:tbl>
      <w:tblGrid>
        <w:gridCol w:w="1500"/>
        <w:gridCol w:w="2500"/>
        <w:gridCol w:w="3200"/>
        <w:gridCol w:w="2160"/>
      </w:tblGrid>
      <w:tblPr>
        <w:tblStyle w:val="TableGrid"/>
        <w:tblW w:type="dxa" w:w="9360"/>
        <w:tblLayout w:type="fixed"/>
        <w:tblLook w:firstColumn="1" w:firstRow="1" w:lastColumn="0" w:lastRow="0" w:noHBand="0" w:noVBand="1" w:val="04A0"/>
        <w:jc w:val="center"/>
        <w:tblInd w:w="120" w:type="dxa"/>
      </w:tblPr>
      <w:tr>
        <w:tc>
          <w:tcPr>
            <w:tcW w:type="dxa" w:w="1500"/>
            <w:vAlign w:val="center"/>
            <w:tcMar>
              <w:top w:w="80" w:type="dxa"/>
              <w:bottom w:w="80" w:type="dxa"/>
              <w:start w:w="120" w:type="dxa"/>
              <w:end w:w="120" w:type="dxa"/>
            </w:tcMar>
            <w:shd w:fill="F2F4F7"/>
          </w:tcPr>
          <w:p>
            <w:pPr>
              <w:spacing w:after="0"/>
            </w:pPr>
            <w:r>
              <w:rPr>
                <w:rFonts w:ascii="Calibri" w:hAnsi="Calibri"/>
                <w:b/>
                <w:color w:val="141414"/>
                <w:sz w:val="19"/>
              </w:rPr>
              <w:t>Phase</w:t>
            </w:r>
          </w:p>
        </w:tc>
        <w:tc>
          <w:tcPr>
            <w:tcW w:type="dxa" w:w="2500"/>
            <w:vAlign w:val="center"/>
            <w:tcMar>
              <w:top w:w="80" w:type="dxa"/>
              <w:bottom w:w="80" w:type="dxa"/>
              <w:start w:w="120" w:type="dxa"/>
              <w:end w:w="120" w:type="dxa"/>
            </w:tcMar>
            <w:shd w:fill="F2F4F7"/>
          </w:tcPr>
          <w:p>
            <w:pPr>
              <w:spacing w:after="0"/>
            </w:pPr>
            <w:r>
              <w:rPr>
                <w:rFonts w:ascii="Calibri" w:hAnsi="Calibri"/>
                <w:b/>
                <w:color w:val="141414"/>
                <w:sz w:val="19"/>
              </w:rPr>
              <w:t>Goal</w:t>
            </w:r>
          </w:p>
        </w:tc>
        <w:tc>
          <w:tcPr>
            <w:tcW w:type="dxa" w:w="3200"/>
            <w:vAlign w:val="center"/>
            <w:tcMar>
              <w:top w:w="80" w:type="dxa"/>
              <w:bottom w:w="80" w:type="dxa"/>
              <w:start w:w="120" w:type="dxa"/>
              <w:end w:w="120" w:type="dxa"/>
            </w:tcMar>
            <w:shd w:fill="F2F4F7"/>
          </w:tcPr>
          <w:p>
            <w:pPr>
              <w:spacing w:after="0"/>
            </w:pPr>
            <w:r>
              <w:rPr>
                <w:rFonts w:ascii="Calibri" w:hAnsi="Calibri"/>
                <w:b/>
                <w:color w:val="141414"/>
                <w:sz w:val="19"/>
              </w:rPr>
              <w:t>Primary Deliverables</w:t>
            </w:r>
          </w:p>
        </w:tc>
        <w:tc>
          <w:tcPr>
            <w:tcW w:type="dxa" w:w="2160"/>
            <w:vAlign w:val="center"/>
            <w:tcMar>
              <w:top w:w="80" w:type="dxa"/>
              <w:bottom w:w="80" w:type="dxa"/>
              <w:start w:w="120" w:type="dxa"/>
              <w:end w:w="120" w:type="dxa"/>
            </w:tcMar>
            <w:shd w:fill="F2F4F7"/>
          </w:tcPr>
          <w:p>
            <w:pPr>
              <w:spacing w:after="0"/>
            </w:pPr>
            <w:r>
              <w:rPr>
                <w:rFonts w:ascii="Calibri" w:hAnsi="Calibri"/>
                <w:b/>
                <w:color w:val="141414"/>
                <w:sz w:val="19"/>
              </w:rPr>
              <w:t>Exit Criteria</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0. Discovery and Charter</w:t>
            </w:r>
          </w:p>
        </w:tc>
        <w:tc>
          <w:tcPr>
            <w:tcW w:type="dxa" w:w="2500"/>
            <w:vAlign w:val="center"/>
            <w:tcMar>
              <w:top w:w="80" w:type="dxa"/>
              <w:bottom w:w="80" w:type="dxa"/>
              <w:start w:w="120" w:type="dxa"/>
              <w:end w:w="120" w:type="dxa"/>
            </w:tcMar>
          </w:tcPr>
          <w:p>
            <w:pPr>
              <w:spacing w:after="0"/>
            </w:pPr>
            <w:r>
              <w:rPr>
                <w:rFonts w:ascii="Calibri" w:hAnsi="Calibri"/>
                <w:color w:val="141414"/>
                <w:sz w:val="19"/>
              </w:rPr>
              <w:t>Lock product assumptions, scope, personas, primary framework, and security posture</w:t>
            </w:r>
          </w:p>
        </w:tc>
        <w:tc>
          <w:tcPr>
            <w:tcW w:type="dxa" w:w="3200"/>
            <w:vAlign w:val="center"/>
            <w:tcMar>
              <w:top w:w="80" w:type="dxa"/>
              <w:bottom w:w="80" w:type="dxa"/>
              <w:start w:w="120" w:type="dxa"/>
              <w:end w:w="120" w:type="dxa"/>
            </w:tcMar>
          </w:tcPr>
          <w:p>
            <w:pPr>
              <w:spacing w:after="0"/>
            </w:pPr>
            <w:r>
              <w:rPr>
                <w:rFonts w:ascii="Calibri" w:hAnsi="Calibri"/>
                <w:color w:val="141414"/>
                <w:sz w:val="19"/>
              </w:rPr>
              <w:t>Charter, PRD, architecture decision records, threat model, data classification</w:t>
            </w:r>
          </w:p>
        </w:tc>
        <w:tc>
          <w:tcPr>
            <w:tcW w:type="dxa" w:w="2160"/>
            <w:vAlign w:val="center"/>
            <w:tcMar>
              <w:top w:w="80" w:type="dxa"/>
              <w:bottom w:w="80" w:type="dxa"/>
              <w:start w:w="120" w:type="dxa"/>
              <w:end w:w="120" w:type="dxa"/>
            </w:tcMar>
          </w:tcPr>
          <w:p>
            <w:pPr>
              <w:spacing w:after="0"/>
            </w:pPr>
            <w:r>
              <w:rPr>
                <w:rFonts w:ascii="Calibri" w:hAnsi="Calibri"/>
                <w:color w:val="141414"/>
                <w:sz w:val="19"/>
              </w:rPr>
              <w:t>Stakeholders approve scope and non-goals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1. Control Center Foundation</w:t>
            </w:r>
          </w:p>
        </w:tc>
        <w:tc>
          <w:tcPr>
            <w:tcW w:type="dxa" w:w="2500"/>
            <w:vAlign w:val="center"/>
            <w:tcMar>
              <w:top w:w="80" w:type="dxa"/>
              <w:bottom w:w="80" w:type="dxa"/>
              <w:start w:w="120" w:type="dxa"/>
              <w:end w:w="120" w:type="dxa"/>
            </w:tcMar>
          </w:tcPr>
          <w:p>
            <w:pPr>
              <w:spacing w:after="0"/>
            </w:pPr>
            <w:r>
              <w:rPr>
                <w:rFonts w:ascii="Calibri" w:hAnsi="Calibri"/>
                <w:color w:val="141414"/>
                <w:sz w:val="19"/>
              </w:rPr>
              <w:t>Create the graph-backed system of record</w:t>
            </w:r>
          </w:p>
        </w:tc>
        <w:tc>
          <w:tcPr>
            <w:tcW w:type="dxa" w:w="3200"/>
            <w:vAlign w:val="center"/>
            <w:tcMar>
              <w:top w:w="80" w:type="dxa"/>
              <w:bottom w:w="80" w:type="dxa"/>
              <w:start w:w="120" w:type="dxa"/>
              <w:end w:w="120" w:type="dxa"/>
            </w:tcMar>
          </w:tcPr>
          <w:p>
            <w:pPr>
              <w:spacing w:after="0"/>
            </w:pPr>
            <w:r>
              <w:rPr>
                <w:rFonts w:ascii="Calibri" w:hAnsi="Calibri"/>
                <w:color w:val="141414"/>
                <w:sz w:val="19"/>
              </w:rPr>
              <w:t>Control/Asset/Requirement/Evidence schemas, UI CRUD, owner assignment, basic graph view</w:t>
            </w:r>
          </w:p>
        </w:tc>
        <w:tc>
          <w:tcPr>
            <w:tcW w:type="dxa" w:w="2160"/>
            <w:vAlign w:val="center"/>
            <w:tcMar>
              <w:top w:w="80" w:type="dxa"/>
              <w:bottom w:w="80" w:type="dxa"/>
              <w:start w:w="120" w:type="dxa"/>
              <w:end w:w="120" w:type="dxa"/>
            </w:tcMar>
          </w:tcPr>
          <w:p>
            <w:pPr>
              <w:spacing w:after="0"/>
            </w:pPr>
            <w:r>
              <w:rPr>
                <w:rFonts w:ascii="Calibri" w:hAnsi="Calibri"/>
                <w:color w:val="141414"/>
                <w:sz w:val="19"/>
              </w:rPr>
              <w:t>Users can create controls and connect them to assets and requirements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2. Evidence and First Integrations</w:t>
            </w:r>
          </w:p>
        </w:tc>
        <w:tc>
          <w:tcPr>
            <w:tcW w:type="dxa" w:w="2500"/>
            <w:vAlign w:val="center"/>
            <w:tcMar>
              <w:top w:w="80" w:type="dxa"/>
              <w:bottom w:w="80" w:type="dxa"/>
              <w:start w:w="120" w:type="dxa"/>
              <w:end w:w="120" w:type="dxa"/>
            </w:tcMar>
          </w:tcPr>
          <w:p>
            <w:pPr>
              <w:spacing w:after="0"/>
            </w:pPr>
            <w:r>
              <w:rPr>
                <w:rFonts w:ascii="Calibri" w:hAnsi="Calibri"/>
                <w:color w:val="141414"/>
                <w:sz w:val="19"/>
              </w:rPr>
              <w:t>Prove controls continuously</w:t>
            </w:r>
          </w:p>
        </w:tc>
        <w:tc>
          <w:tcPr>
            <w:tcW w:type="dxa" w:w="3200"/>
            <w:vAlign w:val="center"/>
            <w:tcMar>
              <w:top w:w="80" w:type="dxa"/>
              <w:bottom w:w="80" w:type="dxa"/>
              <w:start w:w="120" w:type="dxa"/>
              <w:end w:w="120" w:type="dxa"/>
            </w:tcMar>
          </w:tcPr>
          <w:p>
            <w:pPr>
              <w:spacing w:after="0"/>
            </w:pPr>
            <w:r>
              <w:rPr>
                <w:rFonts w:ascii="Calibri" w:hAnsi="Calibri"/>
                <w:color w:val="141414"/>
                <w:sz w:val="19"/>
              </w:rPr>
              <w:t>Telemetry envelope, AWS integration, IAM integration, S3 immutable evidence, Evidence Agent</w:t>
            </w:r>
          </w:p>
        </w:tc>
        <w:tc>
          <w:tcPr>
            <w:tcW w:type="dxa" w:w="2160"/>
            <w:vAlign w:val="center"/>
            <w:tcMar>
              <w:top w:w="80" w:type="dxa"/>
              <w:bottom w:w="80" w:type="dxa"/>
              <w:start w:w="120" w:type="dxa"/>
              <w:end w:w="120" w:type="dxa"/>
            </w:tcMar>
          </w:tcPr>
          <w:p>
            <w:pPr>
              <w:spacing w:after="0"/>
            </w:pPr>
            <w:r>
              <w:rPr>
                <w:rFonts w:ascii="Calibri" w:hAnsi="Calibri"/>
                <w:color w:val="141414"/>
                <w:sz w:val="19"/>
              </w:rPr>
              <w:t>Evidence validates a control and creates a PROVED_BY edge with raw artifact</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3. Framework Mapping and Approvals</w:t>
            </w:r>
          </w:p>
        </w:tc>
        <w:tc>
          <w:tcPr>
            <w:tcW w:type="dxa" w:w="2500"/>
            <w:vAlign w:val="center"/>
            <w:tcMar>
              <w:top w:w="80" w:type="dxa"/>
              <w:bottom w:w="80" w:type="dxa"/>
              <w:start w:w="120" w:type="dxa"/>
              <w:end w:w="120" w:type="dxa"/>
            </w:tcMar>
          </w:tcPr>
          <w:p>
            <w:pPr>
              <w:spacing w:after="0"/>
            </w:pPr>
            <w:r>
              <w:rPr>
                <w:rFonts w:ascii="Calibri" w:hAnsi="Calibri"/>
                <w:color w:val="141414"/>
                <w:sz w:val="19"/>
              </w:rPr>
              <w:t>Reduce duplicate compliance work</w:t>
            </w:r>
          </w:p>
        </w:tc>
        <w:tc>
          <w:tcPr>
            <w:tcW w:type="dxa" w:w="3200"/>
            <w:vAlign w:val="center"/>
            <w:tcMar>
              <w:top w:w="80" w:type="dxa"/>
              <w:bottom w:w="80" w:type="dxa"/>
              <w:start w:w="120" w:type="dxa"/>
              <w:end w:w="120" w:type="dxa"/>
            </w:tcMar>
          </w:tcPr>
          <w:p>
            <w:pPr>
              <w:spacing w:after="0"/>
            </w:pPr>
            <w:r>
              <w:rPr>
                <w:rFonts w:ascii="Calibri" w:hAnsi="Calibri"/>
                <w:color w:val="141414"/>
                <w:sz w:val="19"/>
              </w:rPr>
              <w:t>Framework import, vector retrieval, Mapping Agent, approval queue, coverage dashboard</w:t>
            </w:r>
          </w:p>
        </w:tc>
        <w:tc>
          <w:tcPr>
            <w:tcW w:type="dxa" w:w="2160"/>
            <w:vAlign w:val="center"/>
            <w:tcMar>
              <w:top w:w="80" w:type="dxa"/>
              <w:bottom w:w="80" w:type="dxa"/>
              <w:start w:w="120" w:type="dxa"/>
              <w:end w:w="120" w:type="dxa"/>
            </w:tcMar>
          </w:tcPr>
          <w:p>
            <w:pPr>
              <w:spacing w:after="0"/>
            </w:pPr>
            <w:r>
              <w:rPr>
                <w:rFonts w:ascii="Calibri" w:hAnsi="Calibri"/>
                <w:color w:val="141414"/>
                <w:sz w:val="19"/>
              </w:rPr>
              <w:t>Analysts approve/reject proposed mappings and coverage updates accurately</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4. FAIR Risk Engine</w:t>
            </w:r>
          </w:p>
        </w:tc>
        <w:tc>
          <w:tcPr>
            <w:tcW w:type="dxa" w:w="2500"/>
            <w:vAlign w:val="center"/>
            <w:tcMar>
              <w:top w:w="80" w:type="dxa"/>
              <w:bottom w:w="80" w:type="dxa"/>
              <w:start w:w="120" w:type="dxa"/>
              <w:end w:w="120" w:type="dxa"/>
            </w:tcMar>
          </w:tcPr>
          <w:p>
            <w:pPr>
              <w:spacing w:after="0"/>
            </w:pPr>
            <w:r>
              <w:rPr>
                <w:rFonts w:ascii="Calibri" w:hAnsi="Calibri"/>
                <w:color w:val="141414"/>
                <w:sz w:val="19"/>
              </w:rPr>
              <w:t>Translate control health into business exposure</w:t>
            </w:r>
          </w:p>
        </w:tc>
        <w:tc>
          <w:tcPr>
            <w:tcW w:type="dxa" w:w="3200"/>
            <w:vAlign w:val="center"/>
            <w:tcMar>
              <w:top w:w="80" w:type="dxa"/>
              <w:bottom w:w="80" w:type="dxa"/>
              <w:start w:w="120" w:type="dxa"/>
              <w:end w:w="120" w:type="dxa"/>
            </w:tcMar>
          </w:tcPr>
          <w:p>
            <w:pPr>
              <w:spacing w:after="0"/>
            </w:pPr>
            <w:r>
              <w:rPr>
                <w:rFonts w:ascii="Calibri" w:hAnsi="Calibri"/>
                <w:color w:val="141414"/>
                <w:sz w:val="19"/>
              </w:rPr>
              <w:t>Scenario model, Monte Carlo service, risk dashboard, appetite alerts</w:t>
            </w:r>
          </w:p>
        </w:tc>
        <w:tc>
          <w:tcPr>
            <w:tcW w:type="dxa" w:w="2160"/>
            <w:vAlign w:val="center"/>
            <w:tcMar>
              <w:top w:w="80" w:type="dxa"/>
              <w:bottom w:w="80" w:type="dxa"/>
              <w:start w:w="120" w:type="dxa"/>
              <w:end w:w="120" w:type="dxa"/>
            </w:tcMar>
          </w:tcPr>
          <w:p>
            <w:pPr>
              <w:spacing w:after="0"/>
            </w:pPr>
            <w:r>
              <w:rPr>
                <w:rFonts w:ascii="Calibri" w:hAnsi="Calibri"/>
                <w:color w:val="141414"/>
                <w:sz w:val="19"/>
              </w:rPr>
              <w:t>A degraded control updates scenario exposure with reproducible assumptions</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5. TPRM and Policy Workflows</w:t>
            </w:r>
          </w:p>
        </w:tc>
        <w:tc>
          <w:tcPr>
            <w:tcW w:type="dxa" w:w="2500"/>
            <w:vAlign w:val="center"/>
            <w:tcMar>
              <w:top w:w="80" w:type="dxa"/>
              <w:bottom w:w="80" w:type="dxa"/>
              <w:start w:w="120" w:type="dxa"/>
              <w:end w:w="120" w:type="dxa"/>
            </w:tcMar>
          </w:tcPr>
          <w:p>
            <w:pPr>
              <w:spacing w:after="0"/>
            </w:pPr>
            <w:r>
              <w:rPr>
                <w:rFonts w:ascii="Calibri" w:hAnsi="Calibri"/>
                <w:color w:val="141414"/>
                <w:sz w:val="19"/>
              </w:rPr>
              <w:t>Connect vendors and documentation to controls</w:t>
            </w:r>
          </w:p>
        </w:tc>
        <w:tc>
          <w:tcPr>
            <w:tcW w:type="dxa" w:w="3200"/>
            <w:vAlign w:val="center"/>
            <w:tcMar>
              <w:top w:w="80" w:type="dxa"/>
              <w:bottom w:w="80" w:type="dxa"/>
              <w:start w:w="120" w:type="dxa"/>
              <w:end w:w="120" w:type="dxa"/>
            </w:tcMar>
          </w:tcPr>
          <w:p>
            <w:pPr>
              <w:spacing w:after="0"/>
            </w:pPr>
            <w:r>
              <w:rPr>
                <w:rFonts w:ascii="Calibri" w:hAnsi="Calibri"/>
                <w:color w:val="141414"/>
                <w:sz w:val="19"/>
              </w:rPr>
              <w:t>Vendor graph, assessment agent, policy generator, document versioning</w:t>
            </w:r>
          </w:p>
        </w:tc>
        <w:tc>
          <w:tcPr>
            <w:tcW w:type="dxa" w:w="2160"/>
            <w:vAlign w:val="center"/>
            <w:tcMar>
              <w:top w:w="80" w:type="dxa"/>
              <w:bottom w:w="80" w:type="dxa"/>
              <w:start w:w="120" w:type="dxa"/>
              <w:end w:w="120" w:type="dxa"/>
            </w:tcMar>
          </w:tcPr>
          <w:p>
            <w:pPr>
              <w:spacing w:after="0"/>
            </w:pPr>
            <w:r>
              <w:rPr>
                <w:rFonts w:ascii="Calibri" w:hAnsi="Calibri"/>
                <w:color w:val="141414"/>
                <w:sz w:val="19"/>
              </w:rPr>
              <w:t>Vendor evidence and policies map to controls with review history</w:t>
            </w:r>
          </w:p>
        </w:tc>
      </w:tr>
      <w:tr>
        <w:tc>
          <w:tcPr>
            <w:tcW w:type="dxa" w:w="1500"/>
            <w:vAlign w:val="center"/>
            <w:tcMar>
              <w:top w:w="80" w:type="dxa"/>
              <w:bottom w:w="80" w:type="dxa"/>
              <w:start w:w="120" w:type="dxa"/>
              <w:end w:w="120" w:type="dxa"/>
            </w:tcMar>
          </w:tcPr>
          <w:p>
            <w:pPr>
              <w:spacing w:after="0"/>
            </w:pPr>
            <w:r>
              <w:rPr>
                <w:rFonts w:ascii="Calibri" w:hAnsi="Calibri"/>
                <w:color w:val="141414"/>
                <w:sz w:val="19"/>
              </w:rPr>
              <w:t>6. Remediation and Scale Hardening</w:t>
            </w:r>
          </w:p>
        </w:tc>
        <w:tc>
          <w:tcPr>
            <w:tcW w:type="dxa" w:w="2500"/>
            <w:vAlign w:val="center"/>
            <w:tcMar>
              <w:top w:w="80" w:type="dxa"/>
              <w:bottom w:w="80" w:type="dxa"/>
              <w:start w:w="120" w:type="dxa"/>
              <w:end w:w="120" w:type="dxa"/>
            </w:tcMar>
          </w:tcPr>
          <w:p>
            <w:pPr>
              <w:spacing w:after="0"/>
            </w:pPr>
            <w:r>
              <w:rPr>
                <w:rFonts w:ascii="Calibri" w:hAnsi="Calibri"/>
                <w:color w:val="141414"/>
                <w:sz w:val="19"/>
              </w:rPr>
              <w:t>Close the loop safely</w:t>
            </w:r>
          </w:p>
        </w:tc>
        <w:tc>
          <w:tcPr>
            <w:tcW w:type="dxa" w:w="3200"/>
            <w:vAlign w:val="center"/>
            <w:tcMar>
              <w:top w:w="80" w:type="dxa"/>
              <w:bottom w:w="80" w:type="dxa"/>
              <w:start w:w="120" w:type="dxa"/>
              <w:end w:w="120" w:type="dxa"/>
            </w:tcMar>
          </w:tcPr>
          <w:p>
            <w:pPr>
              <w:spacing w:after="0"/>
            </w:pPr>
            <w:r>
              <w:rPr>
                <w:rFonts w:ascii="Calibri" w:hAnsi="Calibri"/>
                <w:color w:val="141414"/>
                <w:sz w:val="19"/>
              </w:rPr>
              <w:t>Playbook registry, remediation recommendations, HITL execution, rollback evidence, agent monitoring</w:t>
            </w:r>
          </w:p>
        </w:tc>
        <w:tc>
          <w:tcPr>
            <w:tcW w:type="dxa" w:w="2160"/>
            <w:vAlign w:val="center"/>
            <w:tcMar>
              <w:top w:w="80" w:type="dxa"/>
              <w:bottom w:w="80" w:type="dxa"/>
              <w:start w:w="120" w:type="dxa"/>
              <w:end w:w="120" w:type="dxa"/>
            </w:tcMar>
          </w:tcPr>
          <w:p>
            <w:pPr>
              <w:spacing w:after="0"/>
            </w:pPr>
            <w:r>
              <w:rPr>
                <w:rFonts w:ascii="Calibri" w:hAnsi="Calibri"/>
                <w:color w:val="141414"/>
                <w:sz w:val="19"/>
              </w:rPr>
              <w:t>Approved playbooks remediate low-risk drift and preserve audit trail</w:t>
            </w:r>
          </w:p>
        </w:tc>
      </w:tr>
    </w:tbl>
    <w:p>
      <w:pPr>
        <w:spacing w:after="40"/>
      </w:pPr>
    </w:p>
    <w:p>
      <w:pPr>
        <w:pStyle w:val="Heading2"/>
        <w:keepNext/>
        <w:spacing w:before="240" w:after="120"/>
      </w:pPr>
      <w:r>
        <w:rPr>
          <w:rFonts w:ascii="Calibri" w:hAnsi="Calibri"/>
          <w:b/>
          <w:color w:val="2E74B5"/>
          <w:sz w:val="26"/>
        </w:rPr>
        <w:t>11.2 Product Backlog</w:t>
      </w:r>
    </w:p>
    <w:tbl>
      <w:tblGrid>
        <w:gridCol w:w="2200"/>
        <w:gridCol w:w="7160"/>
      </w:tblGrid>
      <w:tblPr>
        <w:tblStyle w:val="TableGrid"/>
        <w:tblW w:type="dxa" w:w="9360"/>
        <w:tblLayout w:type="fixed"/>
        <w:tblLook w:firstColumn="1" w:firstRow="1" w:lastColumn="0" w:lastRow="0" w:noHBand="0" w:noVBand="1" w:val="04A0"/>
        <w:jc w:val="center"/>
        <w:tblInd w:w="120" w:type="dxa"/>
      </w:tblPr>
      <w:tr>
        <w:tc>
          <w:tcPr>
            <w:tcW w:type="dxa" w:w="2200"/>
            <w:vAlign w:val="center"/>
            <w:tcMar>
              <w:top w:w="80" w:type="dxa"/>
              <w:bottom w:w="80" w:type="dxa"/>
              <w:start w:w="120" w:type="dxa"/>
              <w:end w:w="120" w:type="dxa"/>
            </w:tcMar>
            <w:shd w:fill="F2F4F7"/>
          </w:tcPr>
          <w:p>
            <w:pPr>
              <w:spacing w:after="0"/>
            </w:pPr>
            <w:r>
              <w:rPr>
                <w:rFonts w:ascii="Calibri" w:hAnsi="Calibri"/>
                <w:b/>
                <w:color w:val="141414"/>
                <w:sz w:val="19"/>
              </w:rPr>
              <w:t>Epic</w:t>
            </w:r>
          </w:p>
        </w:tc>
        <w:tc>
          <w:tcPr>
            <w:tcW w:type="dxa" w:w="7160"/>
            <w:vAlign w:val="center"/>
            <w:tcMar>
              <w:top w:w="80" w:type="dxa"/>
              <w:bottom w:w="80" w:type="dxa"/>
              <w:start w:w="120" w:type="dxa"/>
              <w:end w:w="120" w:type="dxa"/>
            </w:tcMar>
            <w:shd w:fill="F2F4F7"/>
          </w:tcPr>
          <w:p>
            <w:pPr>
              <w:spacing w:after="0"/>
            </w:pPr>
            <w:r>
              <w:rPr>
                <w:rFonts w:ascii="Calibri" w:hAnsi="Calibri"/>
                <w:b/>
                <w:color w:val="141414"/>
                <w:sz w:val="19"/>
              </w:rPr>
              <w:t>Representative User Stories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Control Center</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an analyst, I can create a control with owner, status, automation level, KPI/KRI, and framework relevance. As a control owner, I can see only controls assigned to me.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Graph Relationships</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an analyst, I can connect a control to assets, requirements, evidence, vendors, policies, and risk scenarios. As an auditor, I can inspect the full evidence path.</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Evidence Automation</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 system, I can ingest AWS/IAM telemetry, validate it, store immutable raw evidence, and update the control graph.</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AI Approvals</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an analyst, I can review AI proposals side by side with source context, confidence, and reasoning, then approve or reject with rationale.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FAIR Risk</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 risk manager, I can define a scenario, attach controls, run Monte Carlo simulation, and see how degraded controls affect P10/P50/P90 loss.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Knowledge Query</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an executive, I can ask what controls are failing for a critical asset and receive a read-only answer tied to graph paths.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Vendor Risk</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 TPRM analyst, I can upload a SOC 2 report, extract control coverage, and see internal controls that rely on the vendor.</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Operations</w:t>
            </w:r>
          </w:p>
        </w:tc>
        <w:tc>
          <w:tcPr>
            <w:tcW w:type="dxa" w:w="7160"/>
            <w:vAlign w:val="center"/>
            <w:tcMar>
              <w:top w:w="80" w:type="dxa"/>
              <w:bottom w:w="80" w:type="dxa"/>
              <w:start w:w="120" w:type="dxa"/>
              <w:end w:w="120" w:type="dxa"/>
            </w:tcMar>
          </w:tcPr>
          <w:p>
            <w:pPr>
              <w:spacing w:after="0"/>
            </w:pPr>
            <w:r>
              <w:rPr>
                <w:rFonts w:ascii="Calibri" w:hAnsi="Calibri"/>
                <w:color w:val="141414"/>
                <w:sz w:val="19"/>
              </w:rPr>
              <w:t>As an admin, I can monitor agent behavior, disable an agent, rotate credentials, inspect connector health, and export audit logs.</w:t>
            </w:r>
          </w:p>
        </w:tc>
      </w:tr>
    </w:tbl>
    <w:p>
      <w:pPr>
        <w:spacing w:after="40"/>
      </w:pPr>
    </w:p>
    <w:p>
      <w:pPr>
        <w:pStyle w:val="Heading2"/>
        <w:keepNext/>
        <w:spacing w:before="240" w:after="120"/>
      </w:pPr>
      <w:r>
        <w:rPr>
          <w:rFonts w:ascii="Calibri" w:hAnsi="Calibri"/>
          <w:b/>
          <w:color w:val="2E74B5"/>
          <w:sz w:val="26"/>
        </w:rPr>
        <w:t>11.3 Testing Strategy</w:t>
      </w:r>
    </w:p>
    <w:p>
      <w:pPr>
        <w:spacing w:after="80" w:line="280" w:lineRule="auto"/>
        <w:ind w:left="360" w:hanging="216"/>
      </w:pPr>
      <w:r>
        <w:rPr>
          <w:rFonts w:ascii="Calibri" w:hAnsi="Calibri"/>
          <w:color w:val="141414"/>
          <w:sz w:val="22"/>
        </w:rPr>
        <w:t xml:space="preserve">- </w:t>
      </w:r>
      <w:r>
        <w:rPr>
          <w:rFonts w:ascii="Calibri" w:hAnsi="Calibri"/>
          <w:color w:val="141414"/>
          <w:sz w:val="22"/>
        </w:rPr>
        <w:t>Unit and contract tests for JSON schemas, webhook validation, idempotency, tenant scoping, and graph query construction.</w:t>
      </w:r>
    </w:p>
    <w:p>
      <w:pPr>
        <w:spacing w:after="80" w:line="280" w:lineRule="auto"/>
        <w:ind w:left="360" w:hanging="216"/>
      </w:pPr>
      <w:r>
        <w:rPr>
          <w:rFonts w:ascii="Calibri" w:hAnsi="Calibri"/>
          <w:color w:val="141414"/>
          <w:sz w:val="22"/>
        </w:rPr>
        <w:t xml:space="preserve">- </w:t>
      </w:r>
      <w:r>
        <w:rPr>
          <w:rFonts w:ascii="Calibri" w:hAnsi="Calibri"/>
          <w:color w:val="141414"/>
          <w:sz w:val="22"/>
        </w:rPr>
        <w:t>Graph integrity tests for required node properties, allowed edge types, orphaned nodes, tenant leaks, and invalid relationship states.</w:t>
      </w:r>
    </w:p>
    <w:p>
      <w:pPr>
        <w:spacing w:after="80" w:line="280" w:lineRule="auto"/>
        <w:ind w:left="360" w:hanging="216"/>
      </w:pPr>
      <w:r>
        <w:rPr>
          <w:rFonts w:ascii="Calibri" w:hAnsi="Calibri"/>
          <w:color w:val="141414"/>
          <w:sz w:val="22"/>
        </w:rPr>
        <w:t xml:space="preserve">- </w:t>
      </w:r>
      <w:r>
        <w:rPr>
          <w:rFonts w:ascii="Calibri" w:hAnsi="Calibri"/>
          <w:color w:val="141414"/>
          <w:sz w:val="22"/>
        </w:rPr>
        <w:t>AI evaluation tests with golden datasets for evidence validation, mapping precision/recall, prompt injection resistance, and refusal behavior.</w:t>
      </w:r>
    </w:p>
    <w:p>
      <w:pPr>
        <w:spacing w:after="80" w:line="280" w:lineRule="auto"/>
        <w:ind w:left="360" w:hanging="216"/>
      </w:pPr>
      <w:r>
        <w:rPr>
          <w:rFonts w:ascii="Calibri" w:hAnsi="Calibri"/>
          <w:color w:val="141414"/>
          <w:sz w:val="22"/>
        </w:rPr>
        <w:t xml:space="preserve">- </w:t>
      </w:r>
      <w:r>
        <w:rPr>
          <w:rFonts w:ascii="Calibri" w:hAnsi="Calibri"/>
          <w:color w:val="141414"/>
          <w:sz w:val="22"/>
        </w:rPr>
        <w:t>Adversarial red-team tests that attempt prompt injection, unauthorized graph mutation, tenant data leakage, fake evidence, replay attacks, and overbroad remediation.</w:t>
      </w:r>
    </w:p>
    <w:p>
      <w:pPr>
        <w:spacing w:after="80" w:line="280" w:lineRule="auto"/>
        <w:ind w:left="360" w:hanging="216"/>
      </w:pPr>
      <w:r>
        <w:rPr>
          <w:rFonts w:ascii="Calibri" w:hAnsi="Calibri"/>
          <w:color w:val="141414"/>
          <w:sz w:val="22"/>
        </w:rPr>
        <w:t xml:space="preserve">- </w:t>
      </w:r>
      <w:r>
        <w:rPr>
          <w:rFonts w:ascii="Calibri" w:hAnsi="Calibri"/>
          <w:color w:val="141414"/>
          <w:sz w:val="22"/>
        </w:rPr>
        <w:t>Parallel-run UAT against the current risk register and evidence process before production cutover.</w:t>
      </w:r>
    </w:p>
    <w:p>
      <w:pPr>
        <w:spacing w:after="80" w:line="280" w:lineRule="auto"/>
        <w:ind w:left="360" w:hanging="216"/>
      </w:pPr>
      <w:r>
        <w:rPr>
          <w:rFonts w:ascii="Calibri" w:hAnsi="Calibri"/>
          <w:color w:val="141414"/>
          <w:sz w:val="22"/>
        </w:rPr>
        <w:t xml:space="preserve">- </w:t>
      </w:r>
      <w:r>
        <w:rPr>
          <w:rFonts w:ascii="Calibri" w:hAnsi="Calibri"/>
          <w:color w:val="141414"/>
          <w:sz w:val="22"/>
        </w:rPr>
        <w:t>Operational chaos tests for connector outages, model failure, vector index staleness, S3 write failures, and Neptune failover.</w:t>
      </w:r>
    </w:p>
    <w:p>
      <w:pPr>
        <w:pStyle w:val="Heading2"/>
        <w:keepNext/>
        <w:spacing w:before="240" w:after="120"/>
      </w:pPr>
      <w:r>
        <w:rPr>
          <w:rFonts w:ascii="Calibri" w:hAnsi="Calibri"/>
          <w:b/>
          <w:color w:val="2E74B5"/>
          <w:sz w:val="26"/>
        </w:rPr>
        <w:t>11.4 Definition of Done</w:t>
      </w:r>
    </w:p>
    <w:p>
      <w:pPr>
        <w:spacing w:after="120" w:line="264" w:lineRule="auto"/>
      </w:pPr>
      <w:r>
        <w:rPr>
          <w:rFonts w:ascii="Calibri" w:hAnsi="Calibri"/>
          <w:color w:val="141414"/>
          <w:sz w:val="22"/>
        </w:rPr>
        <w:t>A feature is not done when it renders in the UI. It is done when it enforces tenant isolation, writes complete audit records, has schema and RBAC tests, exposes error states to users, preserves immutable evidence where applicable, and can be explained through the control graph.</w:t>
      </w:r>
    </w:p>
    <w:p>
      <w:pPr>
        <w:pStyle w:val="Heading1"/>
        <w:keepNext/>
        <w:spacing w:before="320" w:after="160"/>
      </w:pPr>
      <w:r>
        <w:rPr>
          <w:rFonts w:ascii="Calibri" w:hAnsi="Calibri"/>
          <w:b/>
          <w:color w:val="2E74B5"/>
          <w:sz w:val="32"/>
        </w:rPr>
        <w:t>12. Open Decisions</w:t>
      </w:r>
    </w:p>
    <w:p>
      <w:pPr>
        <w:spacing w:after="80" w:line="280" w:lineRule="auto"/>
        <w:ind w:left="360" w:hanging="216"/>
      </w:pPr>
      <w:r>
        <w:rPr>
          <w:rFonts w:ascii="Calibri" w:hAnsi="Calibri"/>
          <w:color w:val="141414"/>
          <w:sz w:val="22"/>
        </w:rPr>
        <w:t xml:space="preserve">- </w:t>
      </w:r>
      <w:r>
        <w:rPr>
          <w:rFonts w:ascii="Calibri" w:hAnsi="Calibri"/>
          <w:color w:val="141414"/>
          <w:sz w:val="22"/>
        </w:rPr>
        <w:t>Primary framework for MVP: NIST CSF 2.0 is recommended, but final selection should match the first target customer or internal compliance need.</w:t>
      </w:r>
    </w:p>
    <w:p>
      <w:pPr>
        <w:spacing w:after="80" w:line="280" w:lineRule="auto"/>
        <w:ind w:left="360" w:hanging="216"/>
      </w:pPr>
      <w:r>
        <w:rPr>
          <w:rFonts w:ascii="Calibri" w:hAnsi="Calibri"/>
          <w:color w:val="141414"/>
          <w:sz w:val="22"/>
        </w:rPr>
        <w:t xml:space="preserve">- </w:t>
      </w:r>
      <w:r>
        <w:rPr>
          <w:rFonts w:ascii="Calibri" w:hAnsi="Calibri"/>
          <w:color w:val="141414"/>
          <w:sz w:val="22"/>
        </w:rPr>
        <w:t>Model provider and hosting boundary: confirm whether orchestration is AWS-only or cross-cloud, because identity federation and residency requirements depend on that decision.</w:t>
      </w:r>
    </w:p>
    <w:p>
      <w:pPr>
        <w:spacing w:after="80" w:line="280" w:lineRule="auto"/>
        <w:ind w:left="360" w:hanging="216"/>
      </w:pPr>
      <w:r>
        <w:rPr>
          <w:rFonts w:ascii="Calibri" w:hAnsi="Calibri"/>
          <w:color w:val="141414"/>
          <w:sz w:val="22"/>
        </w:rPr>
        <w:t xml:space="preserve">- </w:t>
      </w:r>
      <w:r>
        <w:rPr>
          <w:rFonts w:ascii="Calibri" w:hAnsi="Calibri"/>
          <w:color w:val="141414"/>
          <w:sz w:val="22"/>
        </w:rPr>
        <w:t>Commercial SaaS versus internal enterprise tool: multi-tenancy, pricing, customer onboarding, trust center, and marketplace depth depend on the answer.</w:t>
      </w:r>
    </w:p>
    <w:p>
      <w:pPr>
        <w:spacing w:after="80" w:line="280" w:lineRule="auto"/>
        <w:ind w:left="360" w:hanging="216"/>
      </w:pPr>
      <w:r>
        <w:rPr>
          <w:rFonts w:ascii="Calibri" w:hAnsi="Calibri"/>
          <w:color w:val="141414"/>
          <w:sz w:val="22"/>
        </w:rPr>
        <w:t xml:space="preserve">- </w:t>
      </w:r>
      <w:r>
        <w:rPr>
          <w:rFonts w:ascii="Calibri" w:hAnsi="Calibri"/>
          <w:color w:val="141414"/>
          <w:sz w:val="22"/>
        </w:rPr>
        <w:t>Risk appetite governance: determine who can set financial thresholds and who can approve acceptance of material risk.</w:t>
      </w:r>
    </w:p>
    <w:p>
      <w:pPr>
        <w:spacing w:after="80" w:line="280" w:lineRule="auto"/>
        <w:ind w:left="360" w:hanging="216"/>
      </w:pPr>
      <w:r>
        <w:rPr>
          <w:rFonts w:ascii="Calibri" w:hAnsi="Calibri"/>
          <w:color w:val="141414"/>
          <w:sz w:val="22"/>
        </w:rPr>
        <w:t xml:space="preserve">- </w:t>
      </w:r>
      <w:r>
        <w:rPr>
          <w:rFonts w:ascii="Calibri" w:hAnsi="Calibri"/>
          <w:color w:val="141414"/>
          <w:sz w:val="22"/>
        </w:rPr>
        <w:t>Evidence retention period: align S3 Object Lock settings with legal, audit, and customer obligations before production.</w:t>
      </w:r>
    </w:p>
    <w:p>
      <w:pPr>
        <w:spacing w:after="80" w:line="280" w:lineRule="auto"/>
        <w:ind w:left="360" w:hanging="216"/>
      </w:pPr>
      <w:r>
        <w:rPr>
          <w:rFonts w:ascii="Calibri" w:hAnsi="Calibri"/>
          <w:color w:val="141414"/>
          <w:sz w:val="22"/>
        </w:rPr>
        <w:t xml:space="preserve">- </w:t>
      </w:r>
      <w:r>
        <w:rPr>
          <w:rFonts w:ascii="Calibri" w:hAnsi="Calibri"/>
          <w:color w:val="141414"/>
          <w:sz w:val="22"/>
        </w:rPr>
        <w:t>Automated remediation policy: define asset tiers and control categories where autonomous playbooks are allowed.</w:t>
      </w:r>
    </w:p>
    <w:p>
      <w:pPr>
        <w:pStyle w:val="Heading1"/>
        <w:keepNext/>
        <w:spacing w:before="320" w:after="160"/>
      </w:pPr>
      <w:r>
        <w:rPr>
          <w:rFonts w:ascii="Calibri" w:hAnsi="Calibri"/>
          <w:b/>
          <w:color w:val="2E74B5"/>
          <w:sz w:val="32"/>
        </w:rPr>
        <w:t>13. Source-Informed Reference Notes</w:t>
      </w:r>
    </w:p>
    <w:tbl>
      <w:tblGrid>
        <w:gridCol w:w="2300"/>
        <w:gridCol w:w="4560"/>
        <w:gridCol w:w="2500"/>
      </w:tblGrid>
      <w:tblPr>
        <w:tblStyle w:val="TableGrid"/>
        <w:tblW w:type="dxa" w:w="9360"/>
        <w:tblLayout w:type="fixed"/>
        <w:tblLook w:firstColumn="1" w:firstRow="1" w:lastColumn="0" w:lastRow="0" w:noHBand="0" w:noVBand="1" w:val="04A0"/>
        <w:jc w:val="center"/>
        <w:tblInd w:w="120" w:type="dxa"/>
      </w:tblPr>
      <w:tr>
        <w:tc>
          <w:tcPr>
            <w:tcW w:type="dxa" w:w="2300"/>
            <w:vAlign w:val="center"/>
            <w:tcMar>
              <w:top w:w="80" w:type="dxa"/>
              <w:bottom w:w="80" w:type="dxa"/>
              <w:start w:w="120" w:type="dxa"/>
              <w:end w:w="120" w:type="dxa"/>
            </w:tcMar>
            <w:shd w:fill="F2F4F7"/>
          </w:tcPr>
          <w:p>
            <w:r>
              <w:rPr>
                <w:rFonts w:ascii="Calibri" w:hAnsi="Calibri"/>
                <w:b/>
                <w:color w:val="141414"/>
                <w:sz w:val="19"/>
              </w:rPr>
              <w:t>Reference</w:t>
            </w:r>
          </w:p>
        </w:tc>
        <w:tc>
          <w:tcPr>
            <w:tcW w:type="dxa" w:w="4560"/>
            <w:vAlign w:val="center"/>
            <w:tcMar>
              <w:top w:w="80" w:type="dxa"/>
              <w:bottom w:w="80" w:type="dxa"/>
              <w:start w:w="120" w:type="dxa"/>
              <w:end w:w="120" w:type="dxa"/>
            </w:tcMar>
            <w:shd w:fill="F2F4F7"/>
          </w:tcPr>
          <w:p>
            <w:r>
              <w:rPr>
                <w:rFonts w:ascii="Calibri" w:hAnsi="Calibri"/>
                <w:b/>
                <w:color w:val="141414"/>
                <w:sz w:val="19"/>
              </w:rPr>
              <w:t>How It Informed the Plan</w:t>
            </w:r>
          </w:p>
        </w:tc>
        <w:tc>
          <w:tcPr>
            <w:tcW w:type="dxa" w:w="2500"/>
            <w:vAlign w:val="center"/>
            <w:tcMar>
              <w:top w:w="80" w:type="dxa"/>
              <w:bottom w:w="80" w:type="dxa"/>
              <w:start w:w="120" w:type="dxa"/>
              <w:end w:w="120" w:type="dxa"/>
            </w:tcMar>
            <w:shd w:fill="F2F4F7"/>
          </w:tcPr>
          <w:p>
            <w:r>
              <w:rPr>
                <w:rFonts w:ascii="Calibri" w:hAnsi="Calibri"/>
                <w:b/>
                <w:color w:val="141414"/>
                <w:sz w:val="19"/>
              </w:rPr>
              <w:t>URL</w:t>
            </w:r>
          </w:p>
        </w:tc>
      </w:tr>
      <w:tr>
        <w:tc>
          <w:tcPr>
            <w:tcW w:type="dxa" w:w="2300"/>
            <w:vAlign w:val="center"/>
            <w:tcMar>
              <w:top w:w="80" w:type="dxa"/>
              <w:bottom w:w="80" w:type="dxa"/>
              <w:start w:w="120" w:type="dxa"/>
              <w:end w:w="120" w:type="dxa"/>
            </w:tcMar>
          </w:tcPr>
          <w:p>
            <w:r>
              <w:rPr>
                <w:rFonts w:ascii="Calibri" w:hAnsi="Calibri"/>
                <w:color w:val="141414"/>
                <w:sz w:val="19"/>
              </w:rPr>
              <w:t>Drata controls and evidence</w:t>
            </w:r>
          </w:p>
        </w:tc>
        <w:tc>
          <w:tcPr>
            <w:tcW w:type="dxa" w:w="4560"/>
            <w:vAlign w:val="center"/>
            <w:tcMar>
              <w:top w:w="80" w:type="dxa"/>
              <w:bottom w:w="80" w:type="dxa"/>
              <w:start w:w="120" w:type="dxa"/>
              <w:end w:w="120" w:type="dxa"/>
            </w:tcMar>
          </w:tcPr>
          <w:p>
            <w:r>
              <w:rPr>
                <w:rFonts w:ascii="Calibri" w:hAnsi="Calibri"/>
                <w:color w:val="141414"/>
                <w:sz w:val="19"/>
              </w:rPr>
              <w:t>Control ownership, cross-framework mapping, centralized/reusable evidence, and continuous visibility are baseline buyer expectations.</w:t>
            </w:r>
          </w:p>
        </w:tc>
        <w:tc>
          <w:tcPr>
            <w:tcW w:type="dxa" w:w="2500"/>
            <w:vAlign w:val="center"/>
            <w:tcMar>
              <w:top w:w="80" w:type="dxa"/>
              <w:bottom w:w="80" w:type="dxa"/>
              <w:start w:w="120" w:type="dxa"/>
              <w:end w:w="120" w:type="dxa"/>
            </w:tcMar>
          </w:tcPr>
          <w:p>
            <w:hyperlink r:id="rId11">
              <w:r>
                <w:rPr>
                  <w:color w:val="0563C1"/>
                  <w:u w:val="single"/>
                </w:rPr>
                <w:t>https://drata.com/products/compliance/controls-and-evidence</w:t>
              </w:r>
            </w:hyperlink>
          </w:p>
        </w:tc>
      </w:tr>
      <w:tr>
        <w:tc>
          <w:tcPr>
            <w:tcW w:type="dxa" w:w="2300"/>
            <w:vAlign w:val="center"/>
            <w:tcMar>
              <w:top w:w="80" w:type="dxa"/>
              <w:bottom w:w="80" w:type="dxa"/>
              <w:start w:w="120" w:type="dxa"/>
              <w:end w:w="120" w:type="dxa"/>
            </w:tcMar>
          </w:tcPr>
          <w:p>
            <w:r>
              <w:rPr>
                <w:rFonts w:ascii="Calibri" w:hAnsi="Calibri"/>
                <w:color w:val="141414"/>
                <w:sz w:val="19"/>
              </w:rPr>
              <w:t>Vanta automated compliance</w:t>
            </w:r>
          </w:p>
        </w:tc>
        <w:tc>
          <w:tcPr>
            <w:tcW w:type="dxa" w:w="4560"/>
            <w:vAlign w:val="center"/>
            <w:tcMar>
              <w:top w:w="80" w:type="dxa"/>
              <w:bottom w:w="80" w:type="dxa"/>
              <w:start w:w="120" w:type="dxa"/>
              <w:end w:w="120" w:type="dxa"/>
            </w:tcMar>
          </w:tcPr>
          <w:p>
            <w:r>
              <w:rPr>
                <w:rFonts w:ascii="Calibri" w:hAnsi="Calibri"/>
                <w:color w:val="141414"/>
                <w:sz w:val="19"/>
              </w:rPr>
              <w:t>Continuous monitoring, automated evidence, alerts, remediation support, and stakeholder collaboration are common compliance automation expectations.</w:t>
            </w:r>
          </w:p>
        </w:tc>
        <w:tc>
          <w:tcPr>
            <w:tcW w:type="dxa" w:w="2500"/>
            <w:vAlign w:val="center"/>
            <w:tcMar>
              <w:top w:w="80" w:type="dxa"/>
              <w:bottom w:w="80" w:type="dxa"/>
              <w:start w:w="120" w:type="dxa"/>
              <w:end w:w="120" w:type="dxa"/>
            </w:tcMar>
          </w:tcPr>
          <w:p>
            <w:hyperlink r:id="rId12">
              <w:r>
                <w:rPr>
                  <w:color w:val="0563C1"/>
                  <w:u w:val="single"/>
                </w:rPr>
                <w:t>https://www.vanta.com/products/automated-compliance</w:t>
              </w:r>
            </w:hyperlink>
          </w:p>
        </w:tc>
      </w:tr>
      <w:tr>
        <w:tc>
          <w:tcPr>
            <w:tcW w:type="dxa" w:w="2300"/>
            <w:vAlign w:val="center"/>
            <w:tcMar>
              <w:top w:w="80" w:type="dxa"/>
              <w:bottom w:w="80" w:type="dxa"/>
              <w:start w:w="120" w:type="dxa"/>
              <w:end w:w="120" w:type="dxa"/>
            </w:tcMar>
          </w:tcPr>
          <w:p>
            <w:r>
              <w:rPr>
                <w:rFonts w:ascii="Calibri" w:hAnsi="Calibri"/>
                <w:color w:val="141414"/>
                <w:sz w:val="19"/>
              </w:rPr>
              <w:t>Archer IT and Security Risk Management</w:t>
            </w:r>
          </w:p>
        </w:tc>
        <w:tc>
          <w:tcPr>
            <w:tcW w:type="dxa" w:w="4560"/>
            <w:vAlign w:val="center"/>
            <w:tcMar>
              <w:top w:w="80" w:type="dxa"/>
              <w:bottom w:w="80" w:type="dxa"/>
              <w:start w:w="120" w:type="dxa"/>
              <w:end w:w="120" w:type="dxa"/>
            </w:tcMar>
          </w:tcPr>
          <w:p>
            <w:r>
              <w:rPr>
                <w:rFonts w:ascii="Calibri" w:hAnsi="Calibri"/>
                <w:color w:val="141414"/>
                <w:sz w:val="19"/>
              </w:rPr>
              <w:t>Enterprise GRC buyers expect controls, vulnerabilities, audit findings, obligations, reporting, policy management, continuous controls monitoring, and asset context.</w:t>
            </w:r>
          </w:p>
        </w:tc>
        <w:tc>
          <w:tcPr>
            <w:tcW w:type="dxa" w:w="2500"/>
            <w:vAlign w:val="center"/>
            <w:tcMar>
              <w:top w:w="80" w:type="dxa"/>
              <w:bottom w:w="80" w:type="dxa"/>
              <w:start w:w="120" w:type="dxa"/>
              <w:end w:w="120" w:type="dxa"/>
            </w:tcMar>
          </w:tcPr>
          <w:p>
            <w:hyperlink r:id="rId13">
              <w:r>
                <w:rPr>
                  <w:color w:val="0563C1"/>
                  <w:u w:val="single"/>
                </w:rPr>
                <w:t>https://www.archerirm.com/it-security-risk-management</w:t>
              </w:r>
            </w:hyperlink>
          </w:p>
        </w:tc>
      </w:tr>
      <w:tr>
        <w:tc>
          <w:tcPr>
            <w:tcW w:type="dxa" w:w="2300"/>
            <w:vAlign w:val="center"/>
            <w:tcMar>
              <w:top w:w="80" w:type="dxa"/>
              <w:bottom w:w="80" w:type="dxa"/>
              <w:start w:w="120" w:type="dxa"/>
              <w:end w:w="120" w:type="dxa"/>
            </w:tcMar>
          </w:tcPr>
          <w:p>
            <w:r>
              <w:rPr>
                <w:rFonts w:ascii="Calibri" w:hAnsi="Calibri"/>
                <w:color w:val="141414"/>
                <w:sz w:val="19"/>
              </w:rPr>
              <w:t>OneTrust GRC overview</w:t>
            </w:r>
          </w:p>
        </w:tc>
        <w:tc>
          <w:tcPr>
            <w:tcW w:type="dxa" w:w="4560"/>
            <w:vAlign w:val="center"/>
            <w:tcMar>
              <w:top w:w="80" w:type="dxa"/>
              <w:bottom w:w="80" w:type="dxa"/>
              <w:start w:w="120" w:type="dxa"/>
              <w:end w:w="120" w:type="dxa"/>
            </w:tcMar>
          </w:tcPr>
          <w:p>
            <w:r>
              <w:rPr>
                <w:rFonts w:ascii="Calibri" w:hAnsi="Calibri"/>
                <w:color w:val="141414"/>
                <w:sz w:val="19"/>
              </w:rPr>
              <w:t>Scalable GRC commonly includes automated risk assessments, policy management, compliance tracking, and unified governance/risk/operational data.</w:t>
            </w:r>
          </w:p>
        </w:tc>
        <w:tc>
          <w:tcPr>
            <w:tcW w:type="dxa" w:w="2500"/>
            <w:vAlign w:val="center"/>
            <w:tcMar>
              <w:top w:w="80" w:type="dxa"/>
              <w:bottom w:w="80" w:type="dxa"/>
              <w:start w:w="120" w:type="dxa"/>
              <w:end w:w="120" w:type="dxa"/>
            </w:tcMar>
          </w:tcPr>
          <w:p>
            <w:hyperlink r:id="rId14">
              <w:r>
                <w:rPr>
                  <w:color w:val="0563C1"/>
                  <w:u w:val="single"/>
                </w:rPr>
                <w:t>https://www.onetrust.com/glossary/governance-risk-and-compliance-grc/</w:t>
              </w:r>
            </w:hyperlink>
          </w:p>
        </w:tc>
      </w:tr>
      <w:tr>
        <w:tc>
          <w:tcPr>
            <w:tcW w:type="dxa" w:w="2300"/>
            <w:vAlign w:val="center"/>
            <w:tcMar>
              <w:top w:w="80" w:type="dxa"/>
              <w:bottom w:w="80" w:type="dxa"/>
              <w:start w:w="120" w:type="dxa"/>
              <w:end w:w="120" w:type="dxa"/>
            </w:tcMar>
          </w:tcPr>
          <w:p>
            <w:r>
              <w:rPr>
                <w:rFonts w:ascii="Calibri" w:hAnsi="Calibri"/>
                <w:color w:val="141414"/>
                <w:sz w:val="19"/>
              </w:rPr>
              <w:t>Compyl framework/evidence positioning</w:t>
            </w:r>
          </w:p>
        </w:tc>
        <w:tc>
          <w:tcPr>
            <w:tcW w:type="dxa" w:w="4560"/>
            <w:vAlign w:val="center"/>
            <w:tcMar>
              <w:top w:w="80" w:type="dxa"/>
              <w:bottom w:w="80" w:type="dxa"/>
              <w:start w:w="120" w:type="dxa"/>
              <w:end w:w="120" w:type="dxa"/>
            </w:tcMar>
          </w:tcPr>
          <w:p>
            <w:r>
              <w:rPr>
                <w:rFonts w:ascii="Calibri" w:hAnsi="Calibri"/>
                <w:color w:val="141414"/>
                <w:sz w:val="19"/>
              </w:rPr>
              <w:t>One control library, many framework mappings, evidence reuse, automated evidence, and real-time program views should be considered product table stakes.</w:t>
            </w:r>
          </w:p>
        </w:tc>
        <w:tc>
          <w:tcPr>
            <w:tcW w:type="dxa" w:w="2500"/>
            <w:vAlign w:val="center"/>
            <w:tcMar>
              <w:top w:w="80" w:type="dxa"/>
              <w:bottom w:w="80" w:type="dxa"/>
              <w:start w:w="120" w:type="dxa"/>
              <w:end w:w="120" w:type="dxa"/>
            </w:tcMar>
          </w:tcPr>
          <w:p>
            <w:hyperlink r:id="rId15">
              <w:r>
                <w:rPr>
                  <w:color w:val="0563C1"/>
                  <w:u w:val="single"/>
                </w:rPr>
                <w:t>https://compyl.com/m-frameworks/</w:t>
              </w:r>
            </w:hyperlink>
          </w:p>
        </w:tc>
      </w:tr>
      <w:tr>
        <w:tc>
          <w:tcPr>
            <w:tcW w:type="dxa" w:w="2300"/>
            <w:vAlign w:val="center"/>
            <w:tcMar>
              <w:top w:w="80" w:type="dxa"/>
              <w:bottom w:w="80" w:type="dxa"/>
              <w:start w:w="120" w:type="dxa"/>
              <w:end w:w="120" w:type="dxa"/>
            </w:tcMar>
          </w:tcPr>
          <w:p>
            <w:r>
              <w:rPr>
                <w:rFonts w:ascii="Calibri" w:hAnsi="Calibri"/>
                <w:color w:val="141414"/>
                <w:sz w:val="19"/>
              </w:rPr>
              <w:t>ProcessUnity / CyberGRX risk exchange</w:t>
            </w:r>
          </w:p>
        </w:tc>
        <w:tc>
          <w:tcPr>
            <w:tcW w:type="dxa" w:w="4560"/>
            <w:vAlign w:val="center"/>
            <w:tcMar>
              <w:top w:w="80" w:type="dxa"/>
              <w:bottom w:w="80" w:type="dxa"/>
              <w:start w:w="120" w:type="dxa"/>
              <w:end w:w="120" w:type="dxa"/>
            </w:tcMar>
          </w:tcPr>
          <w:p>
            <w:r>
              <w:rPr>
                <w:rFonts w:ascii="Calibri" w:hAnsi="Calibri"/>
                <w:color w:val="141414"/>
                <w:sz w:val="19"/>
              </w:rPr>
              <w:t>Third-party risk is strengthened by reusable assessments, external risk intelligence, and updated vendor posture views.</w:t>
            </w:r>
          </w:p>
        </w:tc>
        <w:tc>
          <w:tcPr>
            <w:tcW w:type="dxa" w:w="2500"/>
            <w:vAlign w:val="center"/>
            <w:tcMar>
              <w:top w:w="80" w:type="dxa"/>
              <w:bottom w:w="80" w:type="dxa"/>
              <w:start w:w="120" w:type="dxa"/>
              <w:end w:w="120" w:type="dxa"/>
            </w:tcMar>
          </w:tcPr>
          <w:p>
            <w:hyperlink r:id="rId16">
              <w:r>
                <w:rPr>
                  <w:color w:val="0563C1"/>
                  <w:u w:val="single"/>
                </w:rPr>
                <w:t>https://www.processunity.com/resources/blogs/facilitate-third-party-risk-assessments-using-global-risk-exchange/</w:t>
              </w:r>
            </w:hyperlink>
          </w:p>
        </w:tc>
      </w:tr>
      <w:tr>
        <w:tc>
          <w:tcPr>
            <w:tcW w:type="dxa" w:w="2300"/>
            <w:vAlign w:val="center"/>
            <w:tcMar>
              <w:top w:w="80" w:type="dxa"/>
              <w:bottom w:w="80" w:type="dxa"/>
              <w:start w:w="120" w:type="dxa"/>
              <w:end w:w="120" w:type="dxa"/>
            </w:tcMar>
          </w:tcPr>
          <w:p>
            <w:r>
              <w:rPr>
                <w:rFonts w:ascii="Calibri" w:hAnsi="Calibri"/>
                <w:color w:val="141414"/>
                <w:sz w:val="19"/>
              </w:rPr>
              <w:t>NIST CSF 2.0</w:t>
            </w:r>
          </w:p>
        </w:tc>
        <w:tc>
          <w:tcPr>
            <w:tcW w:type="dxa" w:w="4560"/>
            <w:vAlign w:val="center"/>
            <w:tcMar>
              <w:top w:w="80" w:type="dxa"/>
              <w:bottom w:w="80" w:type="dxa"/>
              <w:start w:w="120" w:type="dxa"/>
              <w:end w:w="120" w:type="dxa"/>
            </w:tcMar>
          </w:tcPr>
          <w:p>
            <w:r>
              <w:rPr>
                <w:rFonts w:ascii="Calibri" w:hAnsi="Calibri"/>
                <w:color w:val="141414"/>
                <w:sz w:val="19"/>
              </w:rPr>
              <w:t>The framework supports flexible outcomes, profiles, tiers, governance, supply chain emphasis, and continuous cybersecurity risk management.</w:t>
            </w:r>
          </w:p>
        </w:tc>
        <w:tc>
          <w:tcPr>
            <w:tcW w:type="dxa" w:w="2500"/>
            <w:vAlign w:val="center"/>
            <w:tcMar>
              <w:top w:w="80" w:type="dxa"/>
              <w:bottom w:w="80" w:type="dxa"/>
              <w:start w:w="120" w:type="dxa"/>
              <w:end w:w="120" w:type="dxa"/>
            </w:tcMar>
          </w:tcPr>
          <w:p>
            <w:hyperlink r:id="rId17">
              <w:r>
                <w:rPr>
                  <w:color w:val="0563C1"/>
                  <w:u w:val="single"/>
                </w:rPr>
                <w:t>https://nvlpubs.nist.gov/nistpubs/CSWP/NIST.CSWP.29.pdf</w:t>
              </w:r>
            </w:hyperlink>
          </w:p>
        </w:tc>
      </w:tr>
      <w:tr>
        <w:tc>
          <w:tcPr>
            <w:tcW w:type="dxa" w:w="2300"/>
            <w:vAlign w:val="center"/>
            <w:tcMar>
              <w:top w:w="80" w:type="dxa"/>
              <w:bottom w:w="80" w:type="dxa"/>
              <w:start w:w="120" w:type="dxa"/>
              <w:end w:w="120" w:type="dxa"/>
            </w:tcMar>
          </w:tcPr>
          <w:p>
            <w:r>
              <w:rPr>
                <w:rFonts w:ascii="Calibri" w:hAnsi="Calibri"/>
                <w:color w:val="141414"/>
                <w:sz w:val="19"/>
              </w:rPr>
              <w:t>FAIR Standard v3.0</w:t>
            </w:r>
          </w:p>
        </w:tc>
        <w:tc>
          <w:tcPr>
            <w:tcW w:type="dxa" w:w="4560"/>
            <w:vAlign w:val="center"/>
            <w:tcMar>
              <w:top w:w="80" w:type="dxa"/>
              <w:bottom w:w="80" w:type="dxa"/>
              <w:start w:w="120" w:type="dxa"/>
              <w:end w:w="120" w:type="dxa"/>
            </w:tcMar>
          </w:tcPr>
          <w:p>
            <w:r>
              <w:rPr>
                <w:rFonts w:ascii="Calibri" w:hAnsi="Calibri"/>
                <w:color w:val="141414"/>
                <w:sz w:val="19"/>
              </w:rPr>
              <w:t>FAIR frames risk as probable frequency and magnitude of future loss, derived from Loss Event Frequency and Loss Magnitude.</w:t>
            </w:r>
          </w:p>
        </w:tc>
        <w:tc>
          <w:tcPr>
            <w:tcW w:type="dxa" w:w="2500"/>
            <w:vAlign w:val="center"/>
            <w:tcMar>
              <w:top w:w="80" w:type="dxa"/>
              <w:bottom w:w="80" w:type="dxa"/>
              <w:start w:w="120" w:type="dxa"/>
              <w:end w:w="120" w:type="dxa"/>
            </w:tcMar>
          </w:tcPr>
          <w:p>
            <w:hyperlink r:id="rId18">
              <w:r>
                <w:rPr>
                  <w:color w:val="0563C1"/>
                  <w:u w:val="single"/>
                </w:rPr>
                <w:t>https://www.fairinstitute.org/hubfs/Standards%20Artifacts/Factor%20Analysis%20of%20Information%20Risk%20%28FAIR%29%20Standard%20v3.0%20%28January%202025%29.pdf</w:t>
              </w:r>
            </w:hyperlink>
          </w:p>
        </w:tc>
      </w:tr>
      <w:tr>
        <w:tc>
          <w:tcPr>
            <w:tcW w:type="dxa" w:w="2300"/>
            <w:vAlign w:val="center"/>
            <w:tcMar>
              <w:top w:w="80" w:type="dxa"/>
              <w:bottom w:w="80" w:type="dxa"/>
              <w:start w:w="120" w:type="dxa"/>
              <w:end w:w="120" w:type="dxa"/>
            </w:tcMar>
          </w:tcPr>
          <w:p>
            <w:r>
              <w:rPr>
                <w:rFonts w:ascii="Calibri" w:hAnsi="Calibri"/>
                <w:color w:val="141414"/>
                <w:sz w:val="19"/>
              </w:rPr>
              <w:t>Amazon Neptune data model</w:t>
            </w:r>
          </w:p>
        </w:tc>
        <w:tc>
          <w:tcPr>
            <w:tcW w:type="dxa" w:w="4560"/>
            <w:vAlign w:val="center"/>
            <w:tcMar>
              <w:top w:w="80" w:type="dxa"/>
              <w:bottom w:w="80" w:type="dxa"/>
              <w:start w:w="120" w:type="dxa"/>
              <w:end w:w="120" w:type="dxa"/>
            </w:tcMar>
          </w:tcPr>
          <w:p>
            <w:r>
              <w:rPr>
                <w:rFonts w:ascii="Calibri" w:hAnsi="Calibri"/>
                <w:color w:val="141414"/>
                <w:sz w:val="19"/>
              </w:rPr>
              <w:t>Neptune supports graph relationships and properties, suitable for explicit control-to-entity relationship traversal.</w:t>
            </w:r>
          </w:p>
        </w:tc>
        <w:tc>
          <w:tcPr>
            <w:tcW w:type="dxa" w:w="2500"/>
            <w:vAlign w:val="center"/>
            <w:tcMar>
              <w:top w:w="80" w:type="dxa"/>
              <w:bottom w:w="80" w:type="dxa"/>
              <w:start w:w="120" w:type="dxa"/>
              <w:end w:w="120" w:type="dxa"/>
            </w:tcMar>
          </w:tcPr>
          <w:p>
            <w:hyperlink r:id="rId19">
              <w:r>
                <w:rPr>
                  <w:color w:val="0563C1"/>
                  <w:u w:val="single"/>
                </w:rPr>
                <w:t>https://docs.aws.amazon.com/neptune/latest/userguide/feature-overview-data-model.html</w:t>
              </w:r>
            </w:hyperlink>
          </w:p>
        </w:tc>
      </w:tr>
      <w:tr>
        <w:tc>
          <w:tcPr>
            <w:tcW w:type="dxa" w:w="2300"/>
            <w:vAlign w:val="center"/>
            <w:tcMar>
              <w:top w:w="80" w:type="dxa"/>
              <w:bottom w:w="80" w:type="dxa"/>
              <w:start w:w="120" w:type="dxa"/>
              <w:end w:w="120" w:type="dxa"/>
            </w:tcMar>
          </w:tcPr>
          <w:p>
            <w:r>
              <w:rPr>
                <w:rFonts w:ascii="Calibri" w:hAnsi="Calibri"/>
                <w:color w:val="141414"/>
                <w:sz w:val="19"/>
              </w:rPr>
              <w:t>Amazon S3 Object Lock</w:t>
            </w:r>
          </w:p>
        </w:tc>
        <w:tc>
          <w:tcPr>
            <w:tcW w:type="dxa" w:w="4560"/>
            <w:vAlign w:val="center"/>
            <w:tcMar>
              <w:top w:w="80" w:type="dxa"/>
              <w:bottom w:w="80" w:type="dxa"/>
              <w:start w:w="120" w:type="dxa"/>
              <w:end w:w="120" w:type="dxa"/>
            </w:tcMar>
          </w:tcPr>
          <w:p>
            <w:r>
              <w:rPr>
                <w:rFonts w:ascii="Calibri" w:hAnsi="Calibri"/>
                <w:color w:val="141414"/>
                <w:sz w:val="19"/>
              </w:rPr>
              <w:t>Object Lock supports WORM-style retention to help prevent evidence objects from deletion or overwrite for fixed periods or indefinitely.</w:t>
            </w:r>
          </w:p>
        </w:tc>
        <w:tc>
          <w:tcPr>
            <w:tcW w:type="dxa" w:w="2500"/>
            <w:vAlign w:val="center"/>
            <w:tcMar>
              <w:top w:w="80" w:type="dxa"/>
              <w:bottom w:w="80" w:type="dxa"/>
              <w:start w:w="120" w:type="dxa"/>
              <w:end w:w="120" w:type="dxa"/>
            </w:tcMar>
          </w:tcPr>
          <w:p>
            <w:hyperlink r:id="rId20">
              <w:r>
                <w:rPr>
                  <w:color w:val="0563C1"/>
                  <w:u w:val="single"/>
                </w:rPr>
                <w:t>https://docs.aws.amazon.com/AmazonS3/latest/userguide/object-lock.html</w:t>
              </w:r>
            </w:hyperlink>
          </w:p>
        </w:tc>
      </w:tr>
    </w:tbl>
    <w:p>
      <w:pPr>
        <w:pStyle w:val="Heading1"/>
        <w:keepNext/>
        <w:spacing w:before="320" w:after="160"/>
      </w:pPr>
      <w:r>
        <w:rPr>
          <w:rFonts w:ascii="Calibri" w:hAnsi="Calibri"/>
          <w:b/>
          <w:color w:val="2E74B5"/>
          <w:sz w:val="32"/>
        </w:rPr>
        <w:t>14. Glossary</w:t>
      </w:r>
    </w:p>
    <w:tbl>
      <w:tblGrid>
        <w:gridCol w:w="2200"/>
        <w:gridCol w:w="7160"/>
      </w:tblGrid>
      <w:tblPr>
        <w:tblStyle w:val="TableGrid"/>
        <w:tblW w:type="dxa" w:w="9360"/>
        <w:tblLayout w:type="fixed"/>
        <w:tblLook w:firstColumn="1" w:firstRow="1" w:lastColumn="0" w:lastRow="0" w:noHBand="0" w:noVBand="1" w:val="04A0"/>
        <w:jc w:val="center"/>
        <w:tblInd w:w="120" w:type="dxa"/>
      </w:tblPr>
      <w:tr>
        <w:tc>
          <w:tcPr>
            <w:tcW w:type="dxa" w:w="2200"/>
            <w:vAlign w:val="center"/>
            <w:tcMar>
              <w:top w:w="80" w:type="dxa"/>
              <w:bottom w:w="80" w:type="dxa"/>
              <w:start w:w="120" w:type="dxa"/>
              <w:end w:w="120" w:type="dxa"/>
            </w:tcMar>
            <w:shd w:fill="F2F4F7"/>
          </w:tcPr>
          <w:p>
            <w:pPr>
              <w:spacing w:after="0"/>
            </w:pPr>
            <w:r>
              <w:rPr>
                <w:rFonts w:ascii="Calibri" w:hAnsi="Calibri"/>
                <w:b/>
                <w:color w:val="141414"/>
                <w:sz w:val="19"/>
              </w:rPr>
              <w:t>Term</w:t>
            </w:r>
          </w:p>
        </w:tc>
        <w:tc>
          <w:tcPr>
            <w:tcW w:type="dxa" w:w="7160"/>
            <w:vAlign w:val="center"/>
            <w:tcMar>
              <w:top w:w="80" w:type="dxa"/>
              <w:bottom w:w="80" w:type="dxa"/>
              <w:start w:w="120" w:type="dxa"/>
              <w:end w:w="120" w:type="dxa"/>
            </w:tcMar>
            <w:shd w:fill="F2F4F7"/>
          </w:tcPr>
          <w:p>
            <w:pPr>
              <w:spacing w:after="0"/>
            </w:pPr>
            <w:r>
              <w:rPr>
                <w:rFonts w:ascii="Calibri" w:hAnsi="Calibri"/>
                <w:b/>
                <w:color w:val="141414"/>
                <w:sz w:val="19"/>
              </w:rPr>
              <w:t>Definition</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Control Center</w:t>
            </w:r>
          </w:p>
        </w:tc>
        <w:tc>
          <w:tcPr>
            <w:tcW w:type="dxa" w:w="7160"/>
            <w:vAlign w:val="center"/>
            <w:tcMar>
              <w:top w:w="80" w:type="dxa"/>
              <w:bottom w:w="80" w:type="dxa"/>
              <w:start w:w="120" w:type="dxa"/>
              <w:end w:w="120" w:type="dxa"/>
            </w:tcMar>
          </w:tcPr>
          <w:p>
            <w:pPr>
              <w:spacing w:after="0"/>
            </w:pPr>
            <w:r>
              <w:rPr>
                <w:rFonts w:ascii="Calibri" w:hAnsi="Calibri"/>
                <w:color w:val="141414"/>
                <w:sz w:val="19"/>
              </w:rPr>
              <w:t>The control-backed system of record and primary workspace for the platform.</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Control graph</w:t>
            </w:r>
          </w:p>
        </w:tc>
        <w:tc>
          <w:tcPr>
            <w:tcW w:type="dxa" w:w="7160"/>
            <w:vAlign w:val="center"/>
            <w:tcMar>
              <w:top w:w="80" w:type="dxa"/>
              <w:bottom w:w="80" w:type="dxa"/>
              <w:start w:w="120" w:type="dxa"/>
              <w:end w:w="120" w:type="dxa"/>
            </w:tcMar>
          </w:tcPr>
          <w:p>
            <w:pPr>
              <w:spacing w:after="0"/>
            </w:pPr>
            <w:r>
              <w:rPr>
                <w:rFonts w:ascii="Calibri" w:hAnsi="Calibri"/>
                <w:color w:val="141414"/>
                <w:sz w:val="19"/>
              </w:rPr>
              <w:t>The graph representation of controls and all connected entities, including assets, evidence, requirements, vendors, risk scenarios, policies, users, and agents.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PROVED_BY</w:t>
            </w:r>
          </w:p>
        </w:tc>
        <w:tc>
          <w:tcPr>
            <w:tcW w:type="dxa" w:w="7160"/>
            <w:vAlign w:val="center"/>
            <w:tcMar>
              <w:top w:w="80" w:type="dxa"/>
              <w:bottom w:w="80" w:type="dxa"/>
              <w:start w:w="120" w:type="dxa"/>
              <w:end w:w="120" w:type="dxa"/>
            </w:tcMar>
          </w:tcPr>
          <w:p>
            <w:pPr>
              <w:spacing w:after="0"/>
            </w:pPr>
            <w:r>
              <w:rPr>
                <w:rFonts w:ascii="Calibri" w:hAnsi="Calibri"/>
                <w:color w:val="141414"/>
                <w:sz w:val="19"/>
              </w:rPr>
              <w:t>The graph edge linking a control to evidence that supports its operating effectiveness.</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SATISFIES</w:t>
            </w:r>
          </w:p>
        </w:tc>
        <w:tc>
          <w:tcPr>
            <w:tcW w:type="dxa" w:w="7160"/>
            <w:vAlign w:val="center"/>
            <w:tcMar>
              <w:top w:w="80" w:type="dxa"/>
              <w:bottom w:w="80" w:type="dxa"/>
              <w:start w:w="120" w:type="dxa"/>
              <w:end w:w="120" w:type="dxa"/>
            </w:tcMar>
          </w:tcPr>
          <w:p>
            <w:pPr>
              <w:spacing w:after="0"/>
            </w:pPr>
            <w:r>
              <w:rPr>
                <w:rFonts w:ascii="Calibri" w:hAnsi="Calibri"/>
                <w:color w:val="141414"/>
                <w:sz w:val="19"/>
              </w:rPr>
              <w:t>The graph edge linking an internal control to an external framework requirement.</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PENDING_APPROVAL</w:t>
            </w:r>
          </w:p>
        </w:tc>
        <w:tc>
          <w:tcPr>
            <w:tcW w:type="dxa" w:w="7160"/>
            <w:vAlign w:val="center"/>
            <w:tcMar>
              <w:top w:w="80" w:type="dxa"/>
              <w:bottom w:w="80" w:type="dxa"/>
              <w:start w:w="120" w:type="dxa"/>
              <w:end w:w="120" w:type="dxa"/>
            </w:tcMar>
          </w:tcPr>
          <w:p>
            <w:pPr>
              <w:spacing w:after="0"/>
            </w:pPr>
            <w:r>
              <w:rPr>
                <w:rFonts w:ascii="Calibri" w:hAnsi="Calibri"/>
                <w:color w:val="141414"/>
                <w:sz w:val="19"/>
              </w:rPr>
              <w:t>State for AI-proposed or high-risk graph changes awaiting human review.</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Cognitive audit log</w:t>
            </w:r>
          </w:p>
        </w:tc>
        <w:tc>
          <w:tcPr>
            <w:tcW w:type="dxa" w:w="7160"/>
            <w:vAlign w:val="center"/>
            <w:tcMar>
              <w:top w:w="80" w:type="dxa"/>
              <w:bottom w:w="80" w:type="dxa"/>
              <w:start w:w="120" w:type="dxa"/>
              <w:end w:w="120" w:type="dxa"/>
            </w:tcMar>
          </w:tcPr>
          <w:p>
            <w:pPr>
              <w:spacing w:after="0"/>
            </w:pPr>
            <w:r>
              <w:rPr>
                <w:rFonts w:ascii="Calibri" w:hAnsi="Calibri"/>
                <w:color w:val="141414"/>
                <w:sz w:val="19"/>
              </w:rPr>
              <w:t>The exact prompt, context, model version, output, validation result, and hash for an AI decision.</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GraphRAG / Text-to-Graph</w:t>
            </w:r>
          </w:p>
        </w:tc>
        <w:tc>
          <w:tcPr>
            <w:tcW w:type="dxa" w:w="7160"/>
            <w:vAlign w:val="center"/>
            <w:tcMar>
              <w:top w:w="80" w:type="dxa"/>
              <w:bottom w:w="80" w:type="dxa"/>
              <w:start w:w="120" w:type="dxa"/>
              <w:end w:w="120" w:type="dxa"/>
            </w:tcMar>
          </w:tcPr>
          <w:p>
            <w:pPr>
              <w:spacing w:after="0"/>
            </w:pPr>
            <w:r>
              <w:rPr>
                <w:rFonts w:ascii="Calibri" w:hAnsi="Calibri"/>
                <w:color w:val="141414"/>
                <w:sz w:val="19"/>
              </w:rPr>
              <w:t>A natural language query workflow that uses graph schema and graph traversals rather than loose document search alone.</w:t>
            </w:r>
          </w:p>
        </w:tc>
      </w:tr>
      <w:tr>
        <w:tc>
          <w:tcPr>
            <w:tcW w:type="dxa" w:w="2200"/>
            <w:vAlign w:val="center"/>
            <w:tcMar>
              <w:top w:w="80" w:type="dxa"/>
              <w:bottom w:w="80" w:type="dxa"/>
              <w:start w:w="120" w:type="dxa"/>
              <w:end w:w="120" w:type="dxa"/>
            </w:tcMar>
          </w:tcPr>
          <w:p>
            <w:pPr>
              <w:spacing w:after="0"/>
            </w:pPr>
            <w:r>
              <w:rPr>
                <w:rFonts w:ascii="Calibri" w:hAnsi="Calibri"/>
                <w:color w:val="141414"/>
                <w:sz w:val="19"/>
              </w:rPr>
              <w:t>FAIR</w:t>
            </w:r>
          </w:p>
        </w:tc>
        <w:tc>
          <w:tcPr>
            <w:tcW w:type="dxa" w:w="7160"/>
            <w:vAlign w:val="center"/>
            <w:tcMar>
              <w:top w:w="80" w:type="dxa"/>
              <w:bottom w:w="80" w:type="dxa"/>
              <w:start w:w="120" w:type="dxa"/>
              <w:end w:w="120" w:type="dxa"/>
            </w:tcMar>
          </w:tcPr>
          <w:p>
            <w:pPr>
              <w:spacing w:after="0"/>
            </w:pPr>
            <w:r>
              <w:rPr>
                <w:rFonts w:ascii="Calibri" w:hAnsi="Calibri"/>
                <w:color w:val="141414"/>
                <w:sz w:val="19"/>
              </w:rPr>
              <w:t>Factor Analysis of Information Risk, used here for quantitative scenario-based cyber risk analysis.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Prepared for engineering, product, security, legal, and GRC teams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5A5A"/>
        <w:sz w:val="18"/>
      </w:rPr>
      <w:t>Control-Centric GRC Tool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ata.com/products/compliance/controls-and-evidence" TargetMode="External"/><Relationship Id="rId12" Type="http://schemas.openxmlformats.org/officeDocument/2006/relationships/hyperlink" Target="https://www.vanta.com/products/automated-compliance" TargetMode="External"/><Relationship Id="rId13" Type="http://schemas.openxmlformats.org/officeDocument/2006/relationships/hyperlink" Target="https://www.archerirm.com/it-security-risk-management" TargetMode="External"/><Relationship Id="rId14" Type="http://schemas.openxmlformats.org/officeDocument/2006/relationships/hyperlink" Target="https://www.onetrust.com/glossary/governance-risk-and-compliance-grc/" TargetMode="External"/><Relationship Id="rId15" Type="http://schemas.openxmlformats.org/officeDocument/2006/relationships/hyperlink" Target="https://compyl.com/m-frameworks/" TargetMode="External"/><Relationship Id="rId16" Type="http://schemas.openxmlformats.org/officeDocument/2006/relationships/hyperlink" Target="https://www.processunity.com/resources/blogs/facilitate-third-party-risk-assessments-using-global-risk-exchange/" TargetMode="External"/><Relationship Id="rId17" Type="http://schemas.openxmlformats.org/officeDocument/2006/relationships/hyperlink" Target="https://nvlpubs.nist.gov/nistpubs/CSWP/NIST.CSWP.29.pdf" TargetMode="External"/><Relationship Id="rId18" Type="http://schemas.openxmlformats.org/officeDocument/2006/relationships/hyperlink" Target="https://www.fairinstitute.org/hubfs/Standards%20Artifacts/Factor%20Analysis%20of%20Information%20Risk%20%28FAIR%29%20Standard%20v3.0%20%28January%202025%29.pdf" TargetMode="External"/><Relationship Id="rId19" Type="http://schemas.openxmlformats.org/officeDocument/2006/relationships/hyperlink" Target="https://docs.aws.amazon.com/neptune/latest/userguide/feature-overview-data-model.html" TargetMode="External"/><Relationship Id="rId20" Type="http://schemas.openxmlformats.org/officeDocument/2006/relationships/hyperlink" Target="https://docs.aws.amazon.com/AmazonS3/latest/userguide/object-lo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