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CBB7" w14:textId="0968FDD5" w:rsidR="00030240" w:rsidRDefault="00030240">
      <w:pPr>
        <w:rPr>
          <w:b/>
          <w:bCs/>
          <w:sz w:val="28"/>
          <w:szCs w:val="28"/>
        </w:rPr>
      </w:pPr>
      <w:r w:rsidRPr="009D0E31">
        <w:rPr>
          <w:sz w:val="28"/>
          <w:szCs w:val="28"/>
        </w:rPr>
        <w:t xml:space="preserve">BU692A Individual Assignment </w:t>
      </w:r>
      <w:r w:rsidR="000C7EA1">
        <w:rPr>
          <w:rFonts w:hint="eastAsia"/>
          <w:sz w:val="28"/>
          <w:szCs w:val="28"/>
        </w:rPr>
        <w:t>3</w:t>
      </w:r>
      <w:r w:rsidRPr="009D0E31">
        <w:rPr>
          <w:sz w:val="28"/>
          <w:szCs w:val="28"/>
        </w:rPr>
        <w:t xml:space="preserve">: </w:t>
      </w:r>
      <w:r w:rsidR="000C7EA1">
        <w:rPr>
          <w:rFonts w:hint="eastAsia"/>
          <w:b/>
          <w:bCs/>
          <w:sz w:val="28"/>
          <w:szCs w:val="28"/>
        </w:rPr>
        <w:t>M</w:t>
      </w:r>
      <w:r w:rsidR="000C7EA1">
        <w:rPr>
          <w:b/>
          <w:bCs/>
          <w:sz w:val="28"/>
          <w:szCs w:val="28"/>
        </w:rPr>
        <w:t>arket Basket Analysis</w:t>
      </w:r>
    </w:p>
    <w:p w14:paraId="3424F8C9" w14:textId="12993BD0" w:rsidR="00412BB1" w:rsidRPr="00F61CAF" w:rsidRDefault="00412BB1" w:rsidP="00A5361E">
      <w:pPr>
        <w:rPr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</w:t>
      </w:r>
      <w:r w:rsidR="00F61CAF">
        <w:rPr>
          <w:b/>
          <w:bCs/>
          <w:sz w:val="28"/>
          <w:szCs w:val="28"/>
        </w:rPr>
        <w:t xml:space="preserve">                                           </w:t>
      </w:r>
    </w:p>
    <w:p w14:paraId="70AC1411" w14:textId="2D7BE4B0" w:rsidR="00875629" w:rsidRDefault="007205A7" w:rsidP="007205A7">
      <w:pPr>
        <w:spacing w:after="0" w:line="240" w:lineRule="auto"/>
        <w:rPr>
          <w:szCs w:val="24"/>
        </w:rPr>
      </w:pPr>
      <w:r>
        <w:rPr>
          <w:rFonts w:eastAsia="Times New Roman" w:cs="Times New Roman"/>
          <w:color w:val="auto"/>
          <w:szCs w:val="24"/>
        </w:rPr>
        <w:t xml:space="preserve">I use </w:t>
      </w:r>
      <w:r w:rsidRPr="007205A7">
        <w:rPr>
          <w:rFonts w:eastAsia="Times New Roman" w:cs="Times New Roman"/>
          <w:color w:val="auto"/>
          <w:szCs w:val="24"/>
          <w:lang w:val="en-CN"/>
        </w:rPr>
        <w:t xml:space="preserve">Market Basket Analysis </w:t>
      </w:r>
      <w:r>
        <w:rPr>
          <w:rFonts w:eastAsia="Times New Roman" w:cs="Times New Roman"/>
          <w:color w:val="auto"/>
          <w:szCs w:val="24"/>
          <w:lang w:val="en-US"/>
        </w:rPr>
        <w:t xml:space="preserve">as </w:t>
      </w:r>
      <w:r w:rsidRPr="007205A7">
        <w:rPr>
          <w:rFonts w:eastAsia="Times New Roman" w:cs="Times New Roman"/>
          <w:color w:val="auto"/>
          <w:szCs w:val="24"/>
          <w:lang w:val="en-CN"/>
        </w:rPr>
        <w:t xml:space="preserve">the key </w:t>
      </w:r>
      <w:r>
        <w:rPr>
          <w:rFonts w:eastAsia="Times New Roman" w:cs="Times New Roman"/>
          <w:color w:val="auto"/>
          <w:szCs w:val="24"/>
          <w:lang w:val="en-US"/>
        </w:rPr>
        <w:t xml:space="preserve">technique </w:t>
      </w:r>
      <w:r w:rsidRPr="007205A7">
        <w:rPr>
          <w:rFonts w:eastAsia="Times New Roman" w:cs="Times New Roman"/>
          <w:color w:val="auto"/>
          <w:szCs w:val="24"/>
          <w:lang w:val="en-CN"/>
        </w:rPr>
        <w:t>to uncover</w:t>
      </w:r>
      <w:r w:rsidRPr="000C7EA1">
        <w:rPr>
          <w:szCs w:val="24"/>
        </w:rPr>
        <w:t xml:space="preserve"> </w:t>
      </w:r>
      <w:r>
        <w:rPr>
          <w:szCs w:val="24"/>
        </w:rPr>
        <w:t>three</w:t>
      </w:r>
      <w:r w:rsidRPr="000C7EA1">
        <w:rPr>
          <w:szCs w:val="24"/>
        </w:rPr>
        <w:t xml:space="preserve"> promising product bundle</w:t>
      </w:r>
      <w:r w:rsidR="00BA73F2">
        <w:rPr>
          <w:szCs w:val="24"/>
        </w:rPr>
        <w:t>s</w:t>
      </w:r>
      <w:r w:rsidRPr="000C7EA1">
        <w:rPr>
          <w:szCs w:val="24"/>
        </w:rPr>
        <w:t xml:space="preserve"> </w:t>
      </w:r>
      <w:r w:rsidR="00F61CAF">
        <w:rPr>
          <w:szCs w:val="24"/>
        </w:rPr>
        <w:t>I</w:t>
      </w:r>
      <w:r w:rsidR="00F61CAF" w:rsidRPr="000C7EA1">
        <w:rPr>
          <w:szCs w:val="24"/>
        </w:rPr>
        <w:t xml:space="preserve"> </w:t>
      </w:r>
      <w:r w:rsidR="00F61CAF">
        <w:rPr>
          <w:szCs w:val="24"/>
        </w:rPr>
        <w:t>plan</w:t>
      </w:r>
      <w:r w:rsidR="00BA73F2">
        <w:rPr>
          <w:szCs w:val="24"/>
        </w:rPr>
        <w:t xml:space="preserve"> to promote</w:t>
      </w:r>
      <w:r>
        <w:rPr>
          <w:szCs w:val="24"/>
        </w:rPr>
        <w:t xml:space="preserve"> on Black Friday. </w:t>
      </w:r>
      <w:r w:rsidR="000A1532">
        <w:rPr>
          <w:szCs w:val="24"/>
        </w:rPr>
        <w:t>This dataset consists 537577 observations and 12 variables</w:t>
      </w:r>
    </w:p>
    <w:p w14:paraId="3E7E54B9" w14:textId="0F852210" w:rsidR="00D03EE1" w:rsidRDefault="00D03EE1" w:rsidP="007205A7">
      <w:pPr>
        <w:spacing w:after="0" w:line="240" w:lineRule="auto"/>
        <w:rPr>
          <w:szCs w:val="24"/>
        </w:rPr>
      </w:pPr>
    </w:p>
    <w:p w14:paraId="2A52430B" w14:textId="31EF8410" w:rsidR="00875629" w:rsidRDefault="001A78D3" w:rsidP="00913639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use split to create a list of basket with Produc_ID and User_ID</w:t>
      </w:r>
      <w:r w:rsidR="00E14F6F">
        <w:rPr>
          <w:szCs w:val="24"/>
        </w:rPr>
        <w:t xml:space="preserve"> and then use </w:t>
      </w:r>
      <w:r w:rsidR="00F61CAF">
        <w:rPr>
          <w:szCs w:val="24"/>
        </w:rPr>
        <w:t>AS</w:t>
      </w:r>
      <w:r w:rsidR="00E14F6F">
        <w:rPr>
          <w:szCs w:val="24"/>
        </w:rPr>
        <w:t xml:space="preserve"> function to show the large transactions</w:t>
      </w:r>
      <w:r w:rsidR="00BA73F2">
        <w:rPr>
          <w:szCs w:val="24"/>
        </w:rPr>
        <w:t xml:space="preserve"> </w:t>
      </w:r>
      <w:r w:rsidR="00BA73F2" w:rsidRPr="00BA73F2">
        <w:rPr>
          <w:szCs w:val="24"/>
        </w:rPr>
        <w:t xml:space="preserve">with a unique </w:t>
      </w:r>
      <w:r w:rsidR="00BA73F2">
        <w:rPr>
          <w:szCs w:val="24"/>
        </w:rPr>
        <w:t>User_ID</w:t>
      </w:r>
      <w:r w:rsidR="00BA73F2" w:rsidRPr="00BA73F2">
        <w:rPr>
          <w:szCs w:val="24"/>
        </w:rPr>
        <w:t xml:space="preserve"> and a subset of the </w:t>
      </w:r>
      <w:r w:rsidR="00BA73F2">
        <w:rPr>
          <w:szCs w:val="24"/>
        </w:rPr>
        <w:t>products.</w:t>
      </w:r>
      <w:r w:rsidR="00AD6B07">
        <w:rPr>
          <w:szCs w:val="24"/>
        </w:rPr>
        <w:t xml:space="preserve"> Then</w:t>
      </w:r>
      <w:r w:rsidR="00D03EE1">
        <w:rPr>
          <w:szCs w:val="24"/>
        </w:rPr>
        <w:t>, I use the function of itemFrequency to list the most frequently products and plot the top 10 products.</w:t>
      </w:r>
    </w:p>
    <w:p w14:paraId="34189FEE" w14:textId="4602D13F" w:rsidR="00BA73F2" w:rsidRPr="00BA73F2" w:rsidRDefault="00D03EE1" w:rsidP="00BA73F2">
      <w:pPr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ext step, </w:t>
      </w:r>
      <w:r w:rsidR="00BA73F2">
        <w:rPr>
          <w:szCs w:val="24"/>
        </w:rPr>
        <w:t>I will d</w:t>
      </w:r>
      <w:r w:rsidR="00BA73F2" w:rsidRPr="00BA73F2">
        <w:rPr>
          <w:szCs w:val="24"/>
        </w:rPr>
        <w:t xml:space="preserve">efine a rule as an implication form X </w:t>
      </w:r>
      <w:r w:rsidR="00BA73F2" w:rsidRPr="00BA73F2">
        <w:rPr>
          <w:rFonts w:ascii="Cambria Math" w:hAnsi="Cambria Math" w:cs="Cambria Math"/>
          <w:szCs w:val="24"/>
        </w:rPr>
        <w:t>⇒</w:t>
      </w:r>
      <w:r w:rsidR="00BA73F2" w:rsidRPr="00BA73F2">
        <w:rPr>
          <w:szCs w:val="24"/>
        </w:rPr>
        <w:t xml:space="preserve"> Y</w:t>
      </w:r>
    </w:p>
    <w:p w14:paraId="63F712EE" w14:textId="77777777" w:rsidR="00BA73F2" w:rsidRPr="00BA73F2" w:rsidRDefault="00BA73F2" w:rsidP="00BA73F2">
      <w:pPr>
        <w:rPr>
          <w:szCs w:val="24"/>
        </w:rPr>
      </w:pPr>
      <w:r w:rsidRPr="00BA73F2">
        <w:rPr>
          <w:szCs w:val="24"/>
        </w:rPr>
        <w:t>•X (left-hand-side or LHS) is called antecedent</w:t>
      </w:r>
    </w:p>
    <w:p w14:paraId="3B22BEDE" w14:textId="77777777" w:rsidR="00BA73F2" w:rsidRDefault="00BA73F2" w:rsidP="00BA73F2">
      <w:pPr>
        <w:rPr>
          <w:szCs w:val="24"/>
        </w:rPr>
      </w:pPr>
      <w:r w:rsidRPr="00BA73F2">
        <w:rPr>
          <w:szCs w:val="24"/>
        </w:rPr>
        <w:t>•Y (right-hand-side or RHS) is called consequent</w:t>
      </w:r>
      <w:r>
        <w:rPr>
          <w:szCs w:val="24"/>
        </w:rPr>
        <w:t xml:space="preserve"> </w:t>
      </w:r>
    </w:p>
    <w:p w14:paraId="7428F894" w14:textId="1888F4E2" w:rsidR="00CA1DC7" w:rsidRPr="00065F65" w:rsidRDefault="00171FBF" w:rsidP="00171FBF">
      <w:pPr>
        <w:spacing w:after="0" w:line="240" w:lineRule="auto"/>
        <w:rPr>
          <w:rFonts w:cs="Times New Roman"/>
          <w:b/>
          <w:bCs/>
          <w:color w:val="222222"/>
          <w:lang w:val="en-US"/>
        </w:rPr>
      </w:pPr>
      <w:r>
        <w:rPr>
          <w:szCs w:val="24"/>
        </w:rPr>
        <w:t>Before we generate the rules,</w:t>
      </w:r>
      <w:r w:rsidR="00BA73F2">
        <w:rPr>
          <w:szCs w:val="24"/>
        </w:rPr>
        <w:t xml:space="preserve"> we need to understand the definition and implications of association rules</w:t>
      </w:r>
      <w:r w:rsidR="00065F65">
        <w:rPr>
          <w:szCs w:val="24"/>
        </w:rPr>
        <w:t xml:space="preserve">: </w:t>
      </w:r>
      <w:r w:rsidR="00BA73F2">
        <w:rPr>
          <w:szCs w:val="24"/>
        </w:rPr>
        <w:t xml:space="preserve">Support, Confidence and Lift. </w:t>
      </w:r>
      <w:r w:rsidR="00065F65">
        <w:rPr>
          <w:szCs w:val="24"/>
        </w:rPr>
        <w:t xml:space="preserve">Therefore, we can know </w:t>
      </w:r>
      <w:r w:rsidR="00065F65" w:rsidRPr="00065F65">
        <w:rPr>
          <w:b/>
          <w:bCs/>
          <w:szCs w:val="24"/>
        </w:rPr>
        <w:t xml:space="preserve">our </w:t>
      </w:r>
      <w:r w:rsidR="00412BB1" w:rsidRPr="00065F65">
        <w:rPr>
          <w:b/>
          <w:bCs/>
          <w:szCs w:val="24"/>
        </w:rPr>
        <w:t>criteria</w:t>
      </w:r>
      <w:r w:rsidR="00065F65" w:rsidRPr="00065F65">
        <w:rPr>
          <w:b/>
          <w:bCs/>
          <w:szCs w:val="24"/>
        </w:rPr>
        <w:t xml:space="preserve"> to promote three bundles.</w:t>
      </w:r>
      <w:r w:rsidR="00065F65">
        <w:rPr>
          <w:szCs w:val="24"/>
        </w:rPr>
        <w:t xml:space="preserve"> </w:t>
      </w:r>
      <w:r w:rsidR="00BA73F2" w:rsidRPr="00AD6B07">
        <w:rPr>
          <w:rFonts w:eastAsia="Times New Roman" w:cs="Times New Roman"/>
          <w:color w:val="auto"/>
          <w:szCs w:val="24"/>
          <w:lang w:val="en-CN"/>
        </w:rPr>
        <w:t xml:space="preserve">The </w:t>
      </w:r>
      <w:r w:rsidR="00CA1DC7" w:rsidRPr="00CA1DC7">
        <w:rPr>
          <w:rFonts w:eastAsia="Times New Roman" w:cs="Times New Roman"/>
          <w:b/>
          <w:bCs/>
          <w:color w:val="auto"/>
          <w:szCs w:val="24"/>
          <w:lang w:val="en-US"/>
        </w:rPr>
        <w:t>S</w:t>
      </w:r>
      <w:r w:rsidR="00BA73F2" w:rsidRPr="00AD6B07">
        <w:rPr>
          <w:rFonts w:eastAsia="Times New Roman" w:cs="Times New Roman"/>
          <w:b/>
          <w:bCs/>
          <w:color w:val="auto"/>
          <w:szCs w:val="24"/>
          <w:lang w:val="en-CN"/>
        </w:rPr>
        <w:t xml:space="preserve">upport </w:t>
      </w:r>
      <w:r w:rsidR="00BA73F2" w:rsidRPr="00AD6B07">
        <w:rPr>
          <w:rFonts w:eastAsia="Times New Roman" w:cs="Times New Roman"/>
          <w:color w:val="auto"/>
          <w:szCs w:val="24"/>
          <w:lang w:val="en-CN"/>
        </w:rPr>
        <w:t xml:space="preserve">of </w:t>
      </w:r>
      <w:r w:rsidR="00BA73F2">
        <w:rPr>
          <w:rFonts w:eastAsia="Times New Roman" w:cs="Times New Roman"/>
          <w:color w:val="auto"/>
          <w:szCs w:val="24"/>
          <w:lang w:val="en-US"/>
        </w:rPr>
        <w:t>one product</w:t>
      </w:r>
      <w:r w:rsidR="00BA73F2" w:rsidRPr="00AD6B07">
        <w:rPr>
          <w:rFonts w:eastAsia="Times New Roman" w:cs="Times New Roman"/>
          <w:color w:val="auto"/>
          <w:szCs w:val="24"/>
          <w:lang w:val="en-CN"/>
        </w:rPr>
        <w:t xml:space="preserve"> is the number of transactions containing that </w:t>
      </w:r>
      <w:r w:rsidR="00BA73F2">
        <w:rPr>
          <w:rFonts w:eastAsia="Times New Roman" w:cs="Times New Roman"/>
          <w:color w:val="auto"/>
          <w:szCs w:val="24"/>
          <w:lang w:val="en-US"/>
        </w:rPr>
        <w:t>product</w:t>
      </w:r>
      <w:r w:rsidR="00BA73F2" w:rsidRPr="00AD6B07">
        <w:rPr>
          <w:rFonts w:eastAsia="Times New Roman" w:cs="Times New Roman"/>
          <w:color w:val="auto"/>
          <w:szCs w:val="24"/>
          <w:lang w:val="en-CN"/>
        </w:rPr>
        <w:t>.</w:t>
      </w:r>
      <w:r w:rsidR="00CA1DC7" w:rsidRPr="00CA1DC7">
        <w:rPr>
          <w:rFonts w:eastAsia="Times New Roman" w:cs="Times New Roman"/>
          <w:color w:val="auto"/>
          <w:szCs w:val="24"/>
          <w:lang w:val="en-CN"/>
        </w:rPr>
        <w:t xml:space="preserve"> </w:t>
      </w:r>
      <w:r w:rsidR="00CA1DC7" w:rsidRPr="00AD6B07">
        <w:rPr>
          <w:rFonts w:eastAsia="Times New Roman" w:cs="Times New Roman"/>
          <w:color w:val="auto"/>
          <w:szCs w:val="24"/>
          <w:lang w:val="en-CN"/>
        </w:rPr>
        <w:t>Within the MBA macro, support can be expressed as a count or as a percentage of all transactions.</w:t>
      </w:r>
      <w:r w:rsidR="00CA1DC7" w:rsidRPr="00CA1DC7">
        <w:rPr>
          <w:rFonts w:eastAsia="Times New Roman" w:cs="Times New Roman"/>
          <w:color w:val="auto"/>
          <w:szCs w:val="24"/>
          <w:lang w:val="en-CN"/>
        </w:rPr>
        <w:t xml:space="preserve"> </w:t>
      </w:r>
      <w:r w:rsidR="00CA1DC7" w:rsidRPr="004D1FC9">
        <w:rPr>
          <w:rFonts w:eastAsia="Times New Roman" w:cs="Times New Roman"/>
          <w:color w:val="auto"/>
          <w:szCs w:val="24"/>
          <w:lang w:val="en-CN"/>
        </w:rPr>
        <w:t>Support of X supp( X)=n(X)/N(T)</w:t>
      </w:r>
      <w:r w:rsidR="00CA1DC7">
        <w:rPr>
          <w:rFonts w:eastAsia="Times New Roman" w:cs="Times New Roman" w:hint="eastAsia"/>
          <w:color w:val="auto"/>
          <w:szCs w:val="24"/>
          <w:lang w:val="en-CN"/>
        </w:rPr>
        <w:t>;</w:t>
      </w:r>
      <w:r w:rsidR="00CA1DC7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CA1DC7" w:rsidRPr="004D1FC9">
        <w:rPr>
          <w:rFonts w:eastAsia="Times New Roman" w:cs="Times New Roman"/>
          <w:color w:val="auto"/>
          <w:szCs w:val="24"/>
          <w:lang w:val="en-CN"/>
        </w:rPr>
        <w:t xml:space="preserve">Support of X and Y supp(X </w:t>
      </w:r>
      <w:r w:rsidR="00CA1DC7" w:rsidRPr="004D1FC9">
        <w:rPr>
          <w:rFonts w:ascii="Cambria Math" w:eastAsia="Times New Roman" w:hAnsi="Cambria Math" w:cs="Cambria Math"/>
          <w:color w:val="auto"/>
          <w:szCs w:val="24"/>
          <w:lang w:val="en-CN"/>
        </w:rPr>
        <w:t>⇒</w:t>
      </w:r>
      <w:r w:rsidR="00CA1DC7" w:rsidRPr="004D1FC9">
        <w:rPr>
          <w:rFonts w:eastAsia="Times New Roman" w:cs="Times New Roman"/>
          <w:color w:val="auto"/>
          <w:szCs w:val="24"/>
          <w:lang w:val="en-CN"/>
        </w:rPr>
        <w:t xml:space="preserve"> Y ) =n(X and Y)/N(T)</w:t>
      </w:r>
      <w:r w:rsidR="00CA1DC7">
        <w:rPr>
          <w:rFonts w:eastAsia="Times New Roman" w:cs="Times New Roman"/>
          <w:color w:val="auto"/>
          <w:szCs w:val="24"/>
          <w:lang w:val="en-US"/>
        </w:rPr>
        <w:t xml:space="preserve">. </w:t>
      </w:r>
      <w:r w:rsidR="00CA1DC7" w:rsidRPr="00AD6B07">
        <w:rPr>
          <w:rFonts w:eastAsia="Times New Roman" w:cs="Times New Roman"/>
          <w:b/>
          <w:bCs/>
          <w:color w:val="auto"/>
          <w:szCs w:val="24"/>
          <w:lang w:val="en-CN"/>
        </w:rPr>
        <w:t>Confidence</w:t>
      </w:r>
      <w:r w:rsidR="00CA1DC7" w:rsidRPr="00AD6B07">
        <w:rPr>
          <w:rFonts w:eastAsia="Times New Roman" w:cs="Times New Roman"/>
          <w:color w:val="auto"/>
          <w:szCs w:val="24"/>
          <w:lang w:val="en-CN"/>
        </w:rPr>
        <w:t xml:space="preserve"> is defined as the conditional probability that a transaction containing the LHS will also contain the RHS. </w:t>
      </w:r>
      <w:r w:rsidR="00CA1DC7" w:rsidRPr="004224F6">
        <w:rPr>
          <w:rFonts w:eastAsia="Times New Roman" w:cs="Times New Roman"/>
          <w:color w:val="auto"/>
          <w:szCs w:val="24"/>
          <w:lang w:val="en-CN"/>
        </w:rPr>
        <w:t>C</w:t>
      </w:r>
      <w:r w:rsidR="00CA1DC7" w:rsidRPr="004224F6">
        <w:rPr>
          <w:rFonts w:eastAsia="Times New Roman" w:cs="Times New Roman" w:hint="eastAsia"/>
          <w:color w:val="auto"/>
          <w:szCs w:val="24"/>
          <w:lang w:val="en-CN"/>
        </w:rPr>
        <w:t>onfidenc</w:t>
      </w:r>
      <w:r w:rsidR="00CA1DC7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CA1DC7" w:rsidRPr="004224F6">
        <w:rPr>
          <w:rFonts w:eastAsia="Times New Roman" w:cs="Times New Roman" w:hint="eastAsia"/>
          <w:color w:val="auto"/>
          <w:szCs w:val="24"/>
          <w:lang w:val="en-CN"/>
        </w:rPr>
        <w:t>Formula</w:t>
      </w:r>
      <w:r w:rsidR="00CA1DC7">
        <w:rPr>
          <w:rFonts w:eastAsia="Times New Roman" w:cs="Times New Roman" w:hint="eastAsia"/>
          <w:color w:val="auto"/>
          <w:szCs w:val="24"/>
          <w:lang w:val="en-CN"/>
        </w:rPr>
        <w:t>:</w:t>
      </w:r>
      <w:r w:rsidR="00CA1DC7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CA1DC7" w:rsidRPr="004224F6">
        <w:rPr>
          <w:rFonts w:eastAsia="Times New Roman" w:cs="Times New Roman"/>
          <w:color w:val="auto"/>
          <w:szCs w:val="24"/>
          <w:lang w:val="en-CN"/>
        </w:rPr>
        <w:t xml:space="preserve">conf(X </w:t>
      </w:r>
      <w:r w:rsidR="00CA1DC7" w:rsidRPr="004224F6">
        <w:rPr>
          <w:rFonts w:ascii="Cambria Math" w:eastAsia="Times New Roman" w:hAnsi="Cambria Math" w:cs="Cambria Math"/>
          <w:color w:val="auto"/>
          <w:szCs w:val="24"/>
          <w:lang w:val="en-CN"/>
        </w:rPr>
        <w:t>⇒</w:t>
      </w:r>
      <w:r w:rsidR="00CA1DC7" w:rsidRPr="004224F6">
        <w:rPr>
          <w:rFonts w:eastAsia="Times New Roman" w:cs="Times New Roman"/>
          <w:color w:val="auto"/>
          <w:szCs w:val="24"/>
          <w:lang w:val="en-CN"/>
        </w:rPr>
        <w:t xml:space="preserve"> Y ) = supp(X </w:t>
      </w:r>
      <w:r w:rsidR="00CA1DC7" w:rsidRPr="004224F6">
        <w:rPr>
          <w:rFonts w:ascii="Cambria Math" w:eastAsia="Times New Roman" w:hAnsi="Cambria Math" w:cs="Cambria Math"/>
          <w:color w:val="auto"/>
          <w:szCs w:val="24"/>
          <w:lang w:val="en-CN"/>
        </w:rPr>
        <w:t>∪</w:t>
      </w:r>
      <w:r w:rsidR="00CA1DC7" w:rsidRPr="004224F6">
        <w:rPr>
          <w:rFonts w:eastAsia="Times New Roman" w:cs="Times New Roman"/>
          <w:color w:val="auto"/>
          <w:szCs w:val="24"/>
          <w:lang w:val="en-CN"/>
        </w:rPr>
        <w:t xml:space="preserve"> Y )/supp(X)</w:t>
      </w:r>
      <w:r w:rsidR="00CA1DC7">
        <w:rPr>
          <w:rFonts w:eastAsia="Times New Roman" w:cs="Times New Roman"/>
          <w:color w:val="auto"/>
          <w:szCs w:val="24"/>
          <w:lang w:val="en-US"/>
        </w:rPr>
        <w:t>.</w:t>
      </w:r>
      <w:r w:rsidR="00681028" w:rsidRPr="00681028">
        <w:rPr>
          <w:rFonts w:eastAsia="Times New Roman" w:cs="Times New Roman"/>
          <w:color w:val="auto"/>
          <w:szCs w:val="24"/>
          <w:lang w:val="en-CN"/>
        </w:rPr>
        <w:t xml:space="preserve"> </w:t>
      </w:r>
      <w:r w:rsidR="00681028" w:rsidRPr="00065F65">
        <w:rPr>
          <w:rFonts w:eastAsia="Times New Roman" w:cs="Times New Roman"/>
          <w:b/>
          <w:bCs/>
          <w:color w:val="auto"/>
          <w:szCs w:val="24"/>
          <w:lang w:val="en-US"/>
        </w:rPr>
        <w:t xml:space="preserve">The ideal confidence is </w:t>
      </w:r>
      <w:r w:rsidR="00FC42C7" w:rsidRPr="00065F65">
        <w:rPr>
          <w:rFonts w:eastAsia="Times New Roman" w:cs="Times New Roman"/>
          <w:b/>
          <w:bCs/>
          <w:color w:val="auto"/>
          <w:szCs w:val="24"/>
          <w:lang w:val="en-US"/>
        </w:rPr>
        <w:t>a</w:t>
      </w:r>
      <w:r w:rsidRPr="00065F65">
        <w:rPr>
          <w:rFonts w:eastAsia="Times New Roman" w:cs="Times New Roman"/>
          <w:b/>
          <w:bCs/>
          <w:color w:val="auto"/>
          <w:szCs w:val="24"/>
          <w:lang w:val="en-US"/>
        </w:rPr>
        <w:t>bove</w:t>
      </w:r>
      <w:r w:rsidR="00681028" w:rsidRPr="00065F65">
        <w:rPr>
          <w:rFonts w:eastAsia="Times New Roman" w:cs="Times New Roman"/>
          <w:b/>
          <w:bCs/>
          <w:color w:val="auto"/>
          <w:szCs w:val="24"/>
          <w:lang w:val="en-US"/>
        </w:rPr>
        <w:t xml:space="preserve"> 80%,</w:t>
      </w:r>
      <w:r w:rsidR="00681028">
        <w:rPr>
          <w:rFonts w:eastAsia="Times New Roman" w:cs="Times New Roman"/>
          <w:color w:val="auto"/>
          <w:szCs w:val="24"/>
          <w:lang w:val="en-US"/>
        </w:rPr>
        <w:t xml:space="preserve"> which means when you buy X, you are very likely to buy B. If Confidence is 1, then it indicates that people who buy A must buy B. </w:t>
      </w:r>
      <w:r w:rsidR="00681028" w:rsidRPr="00AD6B07">
        <w:rPr>
          <w:rFonts w:eastAsia="Times New Roman" w:cs="Times New Roman"/>
          <w:b/>
          <w:bCs/>
          <w:color w:val="auto"/>
          <w:szCs w:val="24"/>
          <w:lang w:val="en-CN"/>
        </w:rPr>
        <w:t xml:space="preserve">Lift </w:t>
      </w:r>
      <w:r w:rsidR="00681028" w:rsidRPr="00AD6B07">
        <w:rPr>
          <w:rFonts w:eastAsia="Times New Roman" w:cs="Times New Roman"/>
          <w:color w:val="auto"/>
          <w:szCs w:val="24"/>
          <w:lang w:val="en-CN"/>
        </w:rPr>
        <w:t xml:space="preserve">is a measure of the improvement in the occurrence of the RHS given the LHS: it is the ratio of the conditional probability of the RHS given the LHS, divided by the unconditional probability of the RHS. </w:t>
      </w:r>
      <w:r w:rsidR="00681028" w:rsidRPr="00681028">
        <w:rPr>
          <w:rFonts w:cs="Times New Roman"/>
          <w:color w:val="222222"/>
        </w:rPr>
        <w:t>A </w:t>
      </w:r>
      <w:r w:rsidR="00681028" w:rsidRPr="00681028">
        <w:rPr>
          <w:rFonts w:cs="Times New Roman"/>
          <w:b/>
          <w:bCs/>
          <w:color w:val="222222"/>
        </w:rPr>
        <w:t>lift</w:t>
      </w:r>
      <w:r w:rsidR="00681028" w:rsidRPr="00681028">
        <w:rPr>
          <w:rFonts w:cs="Times New Roman"/>
          <w:color w:val="222222"/>
        </w:rPr>
        <w:t> greater than 1 suggests that the presence of the antecedent increases the chances that the consequent will occur in a given transaction.</w:t>
      </w:r>
      <w:r w:rsidR="00681028" w:rsidRPr="00681028">
        <w:rPr>
          <w:rFonts w:cs="Times New Roman"/>
          <w:b/>
          <w:bCs/>
          <w:color w:val="222222"/>
        </w:rPr>
        <w:t xml:space="preserve"> </w:t>
      </w:r>
      <w:r w:rsidR="00681028" w:rsidRPr="001C124D">
        <w:rPr>
          <w:rFonts w:cs="Times New Roman"/>
          <w:color w:val="222222"/>
        </w:rPr>
        <w:t>Lift</w:t>
      </w:r>
      <w:r w:rsidR="00681028">
        <w:rPr>
          <w:rFonts w:cs="Times New Roman"/>
          <w:color w:val="222222"/>
        </w:rPr>
        <w:t xml:space="preserve"> </w:t>
      </w:r>
      <w:r w:rsidR="00681028" w:rsidRPr="00681028">
        <w:rPr>
          <w:rFonts w:cs="Times New Roman"/>
          <w:color w:val="222222"/>
        </w:rPr>
        <w:t>below 1 indicates that purchasing the antecedent reduces the chances of purchasing the consequent in the same transaction.</w:t>
      </w:r>
      <w:r w:rsidR="00681028" w:rsidRPr="00681028">
        <w:rPr>
          <w:rFonts w:cs="Times New Roman"/>
          <w:color w:val="222222"/>
          <w:lang w:val="en-US"/>
        </w:rPr>
        <w:t xml:space="preserve"> So, </w:t>
      </w:r>
      <w:r w:rsidR="00681028" w:rsidRPr="00065F65">
        <w:rPr>
          <w:rFonts w:cs="Times New Roman"/>
          <w:b/>
          <w:bCs/>
          <w:color w:val="222222"/>
          <w:lang w:val="en-US"/>
        </w:rPr>
        <w:t>we are usually interested in a</w:t>
      </w:r>
      <w:r w:rsidRPr="00065F65">
        <w:rPr>
          <w:rFonts w:cs="Times New Roman"/>
          <w:b/>
          <w:bCs/>
          <w:color w:val="222222"/>
          <w:lang w:val="en-US"/>
        </w:rPr>
        <w:t xml:space="preserve"> lift</w:t>
      </w:r>
      <w:r w:rsidR="00681028" w:rsidRPr="00065F65">
        <w:rPr>
          <w:rFonts w:cs="Times New Roman"/>
          <w:b/>
          <w:bCs/>
          <w:color w:val="222222"/>
          <w:lang w:val="en-US"/>
        </w:rPr>
        <w:t xml:space="preserve"> value greater than one.</w:t>
      </w:r>
    </w:p>
    <w:p w14:paraId="47F3A31C" w14:textId="68C538BE" w:rsidR="00171FBF" w:rsidRDefault="00171FBF" w:rsidP="00171FBF">
      <w:pPr>
        <w:spacing w:after="0" w:line="240" w:lineRule="auto"/>
        <w:rPr>
          <w:rFonts w:cs="Times New Roman"/>
          <w:color w:val="222222"/>
          <w:lang w:val="en-US"/>
        </w:rPr>
      </w:pPr>
    </w:p>
    <w:p w14:paraId="0CCC07F1" w14:textId="1DA1B095" w:rsidR="00CA1DC7" w:rsidRDefault="00171FBF" w:rsidP="00CA1DC7">
      <w:pPr>
        <w:spacing w:after="0" w:line="240" w:lineRule="auto"/>
        <w:rPr>
          <w:rFonts w:cs="Times New Roman"/>
          <w:color w:val="222222"/>
          <w:lang w:val="en-US"/>
        </w:rPr>
      </w:pPr>
      <w:r>
        <w:rPr>
          <w:rFonts w:cs="Times New Roman"/>
          <w:color w:val="222222"/>
          <w:lang w:val="en-US"/>
        </w:rPr>
        <w:t xml:space="preserve">Therefore, I set 0.001 as </w:t>
      </w:r>
      <w:r w:rsidRPr="00171FBF">
        <w:rPr>
          <w:rFonts w:cs="Times New Roman"/>
          <w:color w:val="222222"/>
          <w:lang w:val="en-US"/>
        </w:rPr>
        <w:t>Min Support</w:t>
      </w:r>
      <w:r>
        <w:rPr>
          <w:rFonts w:cs="Times New Roman"/>
          <w:color w:val="222222"/>
          <w:lang w:val="en-US"/>
        </w:rPr>
        <w:t>, 0.8 as Min C</w:t>
      </w:r>
      <w:r w:rsidRPr="00171FBF">
        <w:rPr>
          <w:rFonts w:cs="Times New Roman"/>
          <w:color w:val="222222"/>
          <w:lang w:val="en-US"/>
        </w:rPr>
        <w:t>onfidence</w:t>
      </w:r>
      <w:r>
        <w:rPr>
          <w:rFonts w:cs="Times New Roman"/>
          <w:color w:val="222222"/>
          <w:lang w:val="en-US"/>
        </w:rPr>
        <w:t>.</w:t>
      </w:r>
      <w:r w:rsidR="0015459A">
        <w:rPr>
          <w:rFonts w:cs="Times New Roman"/>
          <w:color w:val="222222"/>
          <w:lang w:val="en-US"/>
        </w:rPr>
        <w:t xml:space="preserve"> The length of rules is </w:t>
      </w:r>
      <w:r w:rsidR="0015459A" w:rsidRPr="0015459A">
        <w:rPr>
          <w:rFonts w:cs="Times New Roman"/>
          <w:color w:val="222222"/>
          <w:lang w:val="en-US"/>
        </w:rPr>
        <w:t>2860576</w:t>
      </w:r>
      <w:r w:rsidR="0015459A">
        <w:rPr>
          <w:rFonts w:cs="Times New Roman"/>
          <w:color w:val="222222"/>
          <w:lang w:val="en-US"/>
        </w:rPr>
        <w:t>.</w:t>
      </w:r>
      <w:r w:rsidR="0015459A" w:rsidRPr="00065F65">
        <w:rPr>
          <w:rFonts w:cs="Times New Roman"/>
          <w:b/>
          <w:bCs/>
          <w:color w:val="222222"/>
          <w:lang w:val="en-US"/>
        </w:rPr>
        <w:t xml:space="preserve"> I would like to raise Min Support to be 0.003 </w:t>
      </w:r>
      <w:r w:rsidR="00040235" w:rsidRPr="00065F65">
        <w:rPr>
          <w:rFonts w:cs="Times New Roman"/>
          <w:b/>
          <w:bCs/>
          <w:color w:val="222222"/>
          <w:lang w:val="en-US"/>
        </w:rPr>
        <w:t xml:space="preserve">(LHS and RHS </w:t>
      </w:r>
      <w:r w:rsidR="00040235" w:rsidRPr="00065F65">
        <w:rPr>
          <w:rFonts w:eastAsia="Times New Roman" w:cs="Times New Roman"/>
          <w:b/>
          <w:bCs/>
          <w:color w:val="auto"/>
          <w:szCs w:val="24"/>
          <w:lang w:val="en-CN"/>
        </w:rPr>
        <w:t xml:space="preserve">appear in </w:t>
      </w:r>
      <w:r w:rsidR="00040235" w:rsidRPr="00065F65">
        <w:rPr>
          <w:rFonts w:eastAsia="Times New Roman" w:cs="Times New Roman"/>
          <w:b/>
          <w:bCs/>
          <w:color w:val="auto"/>
          <w:szCs w:val="24"/>
          <w:lang w:val="en-US"/>
        </w:rPr>
        <w:t>0.3</w:t>
      </w:r>
      <w:r w:rsidR="00040235" w:rsidRPr="00065F65">
        <w:rPr>
          <w:rFonts w:eastAsia="Times New Roman" w:cs="Times New Roman"/>
          <w:b/>
          <w:bCs/>
          <w:color w:val="auto"/>
          <w:szCs w:val="24"/>
          <w:lang w:val="en-CN"/>
        </w:rPr>
        <w:t>% of the transactions</w:t>
      </w:r>
      <w:r w:rsidR="00040235" w:rsidRPr="00065F65">
        <w:rPr>
          <w:rFonts w:eastAsia="Times New Roman" w:cs="Times New Roman"/>
          <w:b/>
          <w:bCs/>
          <w:color w:val="auto"/>
          <w:szCs w:val="24"/>
          <w:lang w:val="en-US"/>
        </w:rPr>
        <w:t xml:space="preserve">) </w:t>
      </w:r>
      <w:r w:rsidR="0015459A" w:rsidRPr="00065F65">
        <w:rPr>
          <w:rFonts w:cs="Times New Roman"/>
          <w:b/>
          <w:bCs/>
          <w:color w:val="222222"/>
          <w:lang w:val="en-US"/>
        </w:rPr>
        <w:t xml:space="preserve">and keep the same value of Confidence, </w:t>
      </w:r>
      <w:r w:rsidR="0015459A">
        <w:rPr>
          <w:rFonts w:cs="Times New Roman"/>
          <w:color w:val="222222"/>
          <w:lang w:val="en-US"/>
        </w:rPr>
        <w:t>then length of rules significantly was decreased to 8583. Next, I s</w:t>
      </w:r>
      <w:r w:rsidR="0015459A" w:rsidRPr="0015459A">
        <w:rPr>
          <w:rFonts w:cs="Times New Roman"/>
          <w:color w:val="222222"/>
          <w:lang w:val="en-US"/>
        </w:rPr>
        <w:t xml:space="preserve">ort </w:t>
      </w:r>
      <w:r w:rsidR="004C12FD">
        <w:rPr>
          <w:rFonts w:cs="Times New Roman"/>
          <w:color w:val="222222"/>
          <w:lang w:val="en-US"/>
        </w:rPr>
        <w:t xml:space="preserve">out </w:t>
      </w:r>
      <w:r w:rsidR="0015459A" w:rsidRPr="0015459A">
        <w:rPr>
          <w:rFonts w:cs="Times New Roman"/>
          <w:color w:val="222222"/>
          <w:lang w:val="en-US"/>
        </w:rPr>
        <w:t>rules by confidence</w:t>
      </w:r>
      <w:r w:rsidR="0015459A">
        <w:rPr>
          <w:rFonts w:cs="Times New Roman"/>
          <w:color w:val="222222"/>
          <w:lang w:val="en-US"/>
        </w:rPr>
        <w:t xml:space="preserve"> and </w:t>
      </w:r>
      <w:r w:rsidR="0015459A" w:rsidRPr="0015459A">
        <w:rPr>
          <w:rFonts w:cs="Times New Roman"/>
          <w:color w:val="222222"/>
          <w:lang w:val="en-US"/>
        </w:rPr>
        <w:t>create a list of 'high-confidence' rules.</w:t>
      </w:r>
      <w:r w:rsidR="0015459A">
        <w:rPr>
          <w:rFonts w:cs="Times New Roman"/>
          <w:color w:val="222222"/>
          <w:lang w:val="en-US"/>
        </w:rPr>
        <w:t xml:space="preserve"> I found </w:t>
      </w:r>
      <w:r w:rsidR="004C12FD">
        <w:rPr>
          <w:rFonts w:cs="Times New Roman"/>
          <w:color w:val="222222"/>
          <w:lang w:val="en-US"/>
        </w:rPr>
        <w:t xml:space="preserve">that </w:t>
      </w:r>
      <w:r w:rsidR="0015459A">
        <w:rPr>
          <w:rFonts w:cs="Times New Roman"/>
          <w:color w:val="222222"/>
          <w:lang w:val="en-US"/>
        </w:rPr>
        <w:t xml:space="preserve">the top 7 rules have confidence </w:t>
      </w:r>
      <w:r w:rsidR="00072A3C">
        <w:rPr>
          <w:rFonts w:cs="Times New Roman"/>
          <w:color w:val="222222"/>
          <w:lang w:val="en-US"/>
        </w:rPr>
        <w:t>of 1, so I would not recommend those products bundles, just like what I have explained, people who buy A must buy B, so there is no need to promote them.</w:t>
      </w:r>
      <w:r w:rsidR="00040235">
        <w:rPr>
          <w:rFonts w:cs="Times New Roman"/>
          <w:color w:val="222222"/>
          <w:lang w:val="en-US"/>
        </w:rPr>
        <w:t xml:space="preserve"> And, the remaining 3 confidence levels are below 1. </w:t>
      </w:r>
      <w:r w:rsidR="008E6A2B">
        <w:rPr>
          <w:rFonts w:cs="Times New Roman"/>
          <w:color w:val="222222"/>
          <w:lang w:val="en-US"/>
        </w:rPr>
        <w:t xml:space="preserve">Besides, I </w:t>
      </w:r>
      <w:r w:rsidR="008E6A2B" w:rsidRPr="009D4F40">
        <w:rPr>
          <w:rFonts w:cs="Times New Roman"/>
          <w:b/>
          <w:bCs/>
          <w:color w:val="222222"/>
          <w:lang w:val="en-US"/>
        </w:rPr>
        <w:t>create a list of ‘high-lift ‘rules</w:t>
      </w:r>
      <w:r w:rsidR="008E6A2B">
        <w:rPr>
          <w:rFonts w:cs="Times New Roman"/>
          <w:color w:val="222222"/>
          <w:lang w:val="en-US"/>
        </w:rPr>
        <w:t xml:space="preserve"> and show</w:t>
      </w:r>
      <w:r w:rsidR="004C12FD">
        <w:rPr>
          <w:rFonts w:cs="Times New Roman"/>
          <w:color w:val="222222"/>
          <w:lang w:val="en-US"/>
        </w:rPr>
        <w:t xml:space="preserve"> up</w:t>
      </w:r>
      <w:r w:rsidR="008E6A2B">
        <w:rPr>
          <w:rFonts w:cs="Times New Roman"/>
          <w:color w:val="222222"/>
          <w:lang w:val="en-US"/>
        </w:rPr>
        <w:t xml:space="preserve"> </w:t>
      </w:r>
      <w:r w:rsidR="008E6A2B" w:rsidRPr="008E6A2B">
        <w:rPr>
          <w:rFonts w:cs="Times New Roman"/>
          <w:color w:val="222222"/>
          <w:lang w:val="en-US"/>
        </w:rPr>
        <w:t xml:space="preserve">the top 3 rules </w:t>
      </w:r>
      <w:r w:rsidR="004C12FD">
        <w:rPr>
          <w:rFonts w:cs="Times New Roman"/>
          <w:color w:val="222222"/>
          <w:lang w:val="en-US"/>
        </w:rPr>
        <w:t>by</w:t>
      </w:r>
      <w:r w:rsidR="008E6A2B" w:rsidRPr="008E6A2B">
        <w:rPr>
          <w:rFonts w:cs="Times New Roman"/>
          <w:color w:val="222222"/>
          <w:lang w:val="en-US"/>
        </w:rPr>
        <w:t xml:space="preserve"> lift</w:t>
      </w:r>
      <w:r w:rsidR="008E6A2B">
        <w:rPr>
          <w:rFonts w:cs="Times New Roman"/>
          <w:color w:val="222222"/>
          <w:lang w:val="en-US"/>
        </w:rPr>
        <w:t xml:space="preserve"> </w:t>
      </w:r>
      <w:r w:rsidR="008E6A2B" w:rsidRPr="008E6A2B">
        <w:rPr>
          <w:rFonts w:cs="Times New Roman"/>
          <w:color w:val="222222"/>
          <w:lang w:val="en-US"/>
        </w:rPr>
        <w:t>with support</w:t>
      </w:r>
      <w:r w:rsidR="008E6A2B">
        <w:rPr>
          <w:rFonts w:cs="Times New Roman"/>
          <w:color w:val="222222"/>
          <w:lang w:val="en-US"/>
        </w:rPr>
        <w:t xml:space="preserve">, </w:t>
      </w:r>
      <w:r w:rsidR="008E6A2B" w:rsidRPr="008E6A2B">
        <w:rPr>
          <w:rFonts w:cs="Times New Roman"/>
          <w:color w:val="222222"/>
          <w:lang w:val="en-US"/>
        </w:rPr>
        <w:t xml:space="preserve">confidence </w:t>
      </w:r>
      <w:r w:rsidR="004C12FD">
        <w:rPr>
          <w:rFonts w:cs="Times New Roman"/>
          <w:color w:val="222222"/>
          <w:lang w:val="en-US"/>
        </w:rPr>
        <w:t>levels</w:t>
      </w:r>
      <w:r w:rsidR="008E6A2B">
        <w:rPr>
          <w:rFonts w:cs="Times New Roman"/>
          <w:color w:val="222222"/>
          <w:lang w:val="en-US"/>
        </w:rPr>
        <w:t xml:space="preserve"> and</w:t>
      </w:r>
      <w:r w:rsidR="004C12FD">
        <w:rPr>
          <w:rFonts w:cs="Times New Roman"/>
          <w:color w:val="222222"/>
          <w:lang w:val="en-US"/>
        </w:rPr>
        <w:t xml:space="preserve"> lift</w:t>
      </w:r>
      <w:r w:rsidR="008E6A2B">
        <w:rPr>
          <w:rFonts w:cs="Times New Roman"/>
          <w:color w:val="222222"/>
          <w:lang w:val="en-US"/>
        </w:rPr>
        <w:t xml:space="preserve"> levels, which all meet the </w:t>
      </w:r>
      <w:r w:rsidR="00762E3A">
        <w:rPr>
          <w:rFonts w:cs="Times New Roman"/>
          <w:color w:val="222222"/>
          <w:lang w:val="en-US"/>
        </w:rPr>
        <w:t>criteria</w:t>
      </w:r>
      <w:r w:rsidR="008E6A2B">
        <w:rPr>
          <w:rFonts w:cs="Times New Roman"/>
          <w:color w:val="222222"/>
          <w:lang w:val="en-US"/>
        </w:rPr>
        <w:t xml:space="preserve"> of bundles. </w:t>
      </w:r>
    </w:p>
    <w:p w14:paraId="6DA1E7A3" w14:textId="7740538B" w:rsidR="00040235" w:rsidRDefault="00040235" w:rsidP="00CA1DC7">
      <w:pPr>
        <w:spacing w:after="0" w:line="240" w:lineRule="auto"/>
        <w:rPr>
          <w:rFonts w:cs="Times New Roman"/>
          <w:color w:val="222222"/>
          <w:lang w:val="en-US"/>
        </w:rPr>
      </w:pPr>
    </w:p>
    <w:p w14:paraId="79D1FB19" w14:textId="0FC4F264" w:rsidR="00040235" w:rsidRDefault="00040235" w:rsidP="00CA1DC7">
      <w:pPr>
        <w:spacing w:after="0" w:line="240" w:lineRule="auto"/>
        <w:rPr>
          <w:rFonts w:cs="Times New Roman"/>
          <w:color w:val="222222"/>
          <w:lang w:val="en-US"/>
        </w:rPr>
      </w:pPr>
      <w:r>
        <w:rPr>
          <w:rFonts w:cs="Times New Roman" w:hint="eastAsia"/>
          <w:color w:val="222222"/>
          <w:lang w:val="en-US"/>
        </w:rPr>
        <w:t>I</w:t>
      </w:r>
      <w:r>
        <w:rPr>
          <w:rFonts w:cs="Times New Roman"/>
          <w:color w:val="222222"/>
          <w:lang w:val="en-US"/>
        </w:rPr>
        <w:t xml:space="preserve">n the </w:t>
      </w:r>
      <w:r w:rsidR="00342F16">
        <w:rPr>
          <w:rFonts w:cs="Times New Roman"/>
          <w:color w:val="222222"/>
          <w:lang w:val="en-US"/>
        </w:rPr>
        <w:t xml:space="preserve">following, I scatterplot 1000 rules based </w:t>
      </w:r>
      <w:r w:rsidR="00342F16" w:rsidRPr="00342F16">
        <w:rPr>
          <w:rFonts w:cs="Times New Roman"/>
          <w:color w:val="222222"/>
          <w:lang w:val="en-US"/>
        </w:rPr>
        <w:t>on confidence and</w:t>
      </w:r>
      <w:r w:rsidR="009E4C26">
        <w:rPr>
          <w:rFonts w:cs="Times New Roman"/>
          <w:color w:val="222222"/>
          <w:lang w:val="en-US"/>
        </w:rPr>
        <w:t xml:space="preserve"> support </w:t>
      </w:r>
      <w:r w:rsidR="00342F16" w:rsidRPr="00342F16">
        <w:rPr>
          <w:rFonts w:cs="Times New Roman"/>
          <w:color w:val="222222"/>
          <w:lang w:val="en-US"/>
        </w:rPr>
        <w:t>dimension</w:t>
      </w:r>
      <w:r w:rsidR="00342F16">
        <w:rPr>
          <w:rFonts w:cs="Times New Roman"/>
          <w:color w:val="222222"/>
          <w:lang w:val="en-US"/>
        </w:rPr>
        <w:t xml:space="preserve">, also on </w:t>
      </w:r>
      <w:r w:rsidR="00342F16" w:rsidRPr="00342F16">
        <w:rPr>
          <w:rFonts w:cs="Times New Roman"/>
          <w:color w:val="222222"/>
          <w:lang w:val="en-US"/>
        </w:rPr>
        <w:t xml:space="preserve">confidence and </w:t>
      </w:r>
      <w:r w:rsidR="009E4C26">
        <w:rPr>
          <w:rFonts w:cs="Times New Roman"/>
          <w:color w:val="222222"/>
          <w:lang w:val="en-US"/>
        </w:rPr>
        <w:t xml:space="preserve">lift </w:t>
      </w:r>
      <w:r w:rsidR="00342F16" w:rsidRPr="00342F16">
        <w:rPr>
          <w:rFonts w:cs="Times New Roman"/>
          <w:color w:val="222222"/>
          <w:lang w:val="en-US"/>
        </w:rPr>
        <w:t>dimension</w:t>
      </w:r>
      <w:r w:rsidR="009E4C26">
        <w:rPr>
          <w:rFonts w:cs="Times New Roman"/>
          <w:color w:val="222222"/>
          <w:lang w:val="en-US"/>
        </w:rPr>
        <w:t xml:space="preserve">. </w:t>
      </w:r>
      <w:r w:rsidR="00053640">
        <w:rPr>
          <w:rFonts w:cs="Times New Roman"/>
          <w:color w:val="222222"/>
          <w:lang w:val="en-US"/>
        </w:rPr>
        <w:t>From the scatterplots, I can see confident levels are mostly scattered below 0.95, support levels are concentrated under 0.004, and most lift levels are below 20.</w:t>
      </w:r>
    </w:p>
    <w:p w14:paraId="11939B9B" w14:textId="66C54267" w:rsidR="00053640" w:rsidRDefault="00053640" w:rsidP="00CA1DC7">
      <w:pPr>
        <w:spacing w:after="0" w:line="240" w:lineRule="auto"/>
        <w:rPr>
          <w:rFonts w:cs="Times New Roman"/>
          <w:color w:val="222222"/>
          <w:lang w:val="en-US"/>
        </w:rPr>
      </w:pPr>
    </w:p>
    <w:p w14:paraId="2E9675FC" w14:textId="5CBAA95D" w:rsidR="00CA1DC7" w:rsidRDefault="009D4F40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 w:hint="eastAsia"/>
          <w:color w:val="auto"/>
          <w:szCs w:val="24"/>
          <w:lang w:val="en-CN"/>
        </w:rPr>
        <w:lastRenderedPageBreak/>
        <w:t>I</w:t>
      </w:r>
      <w:r>
        <w:rPr>
          <w:rFonts w:eastAsia="Times New Roman" w:cs="Times New Roman"/>
          <w:color w:val="auto"/>
          <w:szCs w:val="24"/>
          <w:lang w:val="en-US"/>
        </w:rPr>
        <w:t xml:space="preserve"> plot the top rules based on the confidence levels which are all above 0.95. I don’t want to choose these products to bundle as even I don’t promote them, they still have the great probability to be purchased together.</w:t>
      </w:r>
    </w:p>
    <w:p w14:paraId="00003A04" w14:textId="23BE6E24" w:rsidR="008C74DC" w:rsidRDefault="008C74DC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</w:p>
    <w:p w14:paraId="5B9427E1" w14:textId="688094BF" w:rsidR="008C74DC" w:rsidRDefault="00F61CAF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 xml:space="preserve">Next, </w:t>
      </w:r>
      <w:r w:rsidR="008C74DC">
        <w:rPr>
          <w:rFonts w:eastAsia="Times New Roman" w:cs="Times New Roman" w:hint="eastAsia"/>
          <w:color w:val="auto"/>
          <w:szCs w:val="24"/>
          <w:lang w:val="en-US"/>
        </w:rPr>
        <w:t>I</w:t>
      </w:r>
      <w:r w:rsidR="008C74DC">
        <w:rPr>
          <w:rFonts w:eastAsia="Times New Roman" w:cs="Times New Roman"/>
          <w:color w:val="auto"/>
          <w:szCs w:val="24"/>
          <w:lang w:val="en-US"/>
        </w:rPr>
        <w:t xml:space="preserve"> plot the top 3 rules as below based on the Lift levels which I am satisfied with all of the following levels for bundles. </w:t>
      </w:r>
    </w:p>
    <w:p w14:paraId="528F714C" w14:textId="77777777" w:rsidR="00412BB1" w:rsidRDefault="00547996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 w:hint="eastAsia"/>
          <w:color w:val="auto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Cs w:val="24"/>
          <w:lang w:val="en-US"/>
        </w:rPr>
        <w:t xml:space="preserve">   </w:t>
      </w:r>
    </w:p>
    <w:p w14:paraId="111CDD81" w14:textId="1E2D9F31" w:rsidR="008C74DC" w:rsidRDefault="00547996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 xml:space="preserve">Table </w:t>
      </w:r>
      <w:r w:rsidR="00F61CAF">
        <w:rPr>
          <w:rFonts w:eastAsia="Times New Roman" w:cs="Times New Roman"/>
          <w:color w:val="auto"/>
          <w:szCs w:val="24"/>
          <w:lang w:val="en-US"/>
        </w:rPr>
        <w:t>1:</w:t>
      </w:r>
    </w:p>
    <w:tbl>
      <w:tblPr>
        <w:tblW w:w="9258" w:type="dxa"/>
        <w:tblInd w:w="225" w:type="dxa"/>
        <w:tblLook w:val="04A0" w:firstRow="1" w:lastRow="0" w:firstColumn="1" w:lastColumn="0" w:noHBand="0" w:noVBand="1"/>
      </w:tblPr>
      <w:tblGrid>
        <w:gridCol w:w="338"/>
        <w:gridCol w:w="3265"/>
        <w:gridCol w:w="1837"/>
        <w:gridCol w:w="1212"/>
        <w:gridCol w:w="1318"/>
        <w:gridCol w:w="1288"/>
      </w:tblGrid>
      <w:tr w:rsidR="008C74DC" w:rsidRPr="008C74DC" w14:paraId="329BFD51" w14:textId="77777777" w:rsidTr="0010219D">
        <w:trPr>
          <w:trHeight w:val="320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F6B3" w14:textId="77777777" w:rsidR="008C74DC" w:rsidRPr="008C74DC" w:rsidRDefault="008C74DC" w:rsidP="008C74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 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F0A5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LHS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A595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RHS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3572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Support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3B0A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Confidence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ECA9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Lift</w:t>
            </w:r>
          </w:p>
        </w:tc>
      </w:tr>
      <w:tr w:rsidR="008C74DC" w:rsidRPr="008C74DC" w14:paraId="6C1CF1B8" w14:textId="77777777" w:rsidTr="0010219D">
        <w:trPr>
          <w:trHeight w:val="320"/>
        </w:trPr>
        <w:tc>
          <w:tcPr>
            <w:tcW w:w="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D1D0" w14:textId="77777777" w:rsidR="008C74DC" w:rsidRPr="008C74DC" w:rsidRDefault="008C74DC" w:rsidP="008C7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1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D3AE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 xml:space="preserve">{P00142142, P00180142} =&gt; 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A01E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 xml:space="preserve">{P00180042}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5394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0.0031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FC7A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0.8182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B881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73.0289</w:t>
            </w:r>
          </w:p>
        </w:tc>
      </w:tr>
      <w:tr w:rsidR="008C74DC" w:rsidRPr="008C74DC" w14:paraId="41511368" w14:textId="77777777" w:rsidTr="0010219D">
        <w:trPr>
          <w:trHeight w:val="320"/>
        </w:trPr>
        <w:tc>
          <w:tcPr>
            <w:tcW w:w="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1D46" w14:textId="77777777" w:rsidR="008C74DC" w:rsidRPr="008C74DC" w:rsidRDefault="008C74DC" w:rsidP="008C7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2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2F8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 xml:space="preserve">{P00129842, P00368042} =&gt; 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0414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 xml:space="preserve">{P00368142}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781D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0.0031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CC52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0.9000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5330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27.4710</w:t>
            </w:r>
          </w:p>
        </w:tc>
      </w:tr>
      <w:tr w:rsidR="008C74DC" w:rsidRPr="008C74DC" w14:paraId="7CD5063B" w14:textId="77777777" w:rsidTr="0010219D">
        <w:trPr>
          <w:trHeight w:val="32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254BF" w14:textId="77777777" w:rsidR="008C74DC" w:rsidRPr="008C74DC" w:rsidRDefault="008C74DC" w:rsidP="008C74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3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A06AA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 xml:space="preserve"> {P00226642, P00324642} =&gt;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E9B74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{P00329342}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E4FA4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0.0031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1F749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0.8500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788A" w14:textId="77777777" w:rsidR="008C74DC" w:rsidRPr="008C74DC" w:rsidRDefault="008C74DC" w:rsidP="008C7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  <w:r w:rsidRPr="008C74DC"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  <w:t>25.8945</w:t>
            </w:r>
          </w:p>
        </w:tc>
      </w:tr>
    </w:tbl>
    <w:p w14:paraId="58212F64" w14:textId="63FA53AA" w:rsidR="008C74DC" w:rsidRDefault="008C74DC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</w:p>
    <w:p w14:paraId="15687F8C" w14:textId="388E7813" w:rsidR="00412BB1" w:rsidRDefault="00412BB1" w:rsidP="00CA1DC7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 w:hint="eastAsia"/>
          <w:color w:val="auto"/>
          <w:szCs w:val="24"/>
          <w:lang w:val="en-US"/>
        </w:rPr>
        <w:t>T</w:t>
      </w:r>
      <w:r>
        <w:rPr>
          <w:rFonts w:eastAsia="Times New Roman" w:cs="Times New Roman"/>
          <w:color w:val="auto"/>
          <w:szCs w:val="24"/>
          <w:lang w:val="en-US"/>
        </w:rPr>
        <w:t xml:space="preserve">able 2: </w:t>
      </w:r>
    </w:p>
    <w:p w14:paraId="69FD10F9" w14:textId="46A4DDCF" w:rsidR="009D4F40" w:rsidRPr="009D4F40" w:rsidRDefault="008C74DC" w:rsidP="008C74DC">
      <w:pPr>
        <w:spacing w:after="0" w:line="240" w:lineRule="auto"/>
        <w:rPr>
          <w:rFonts w:eastAsia="Times New Roman" w:cs="Times New Roman"/>
          <w:color w:val="auto"/>
          <w:szCs w:val="24"/>
          <w:lang w:val="en-US"/>
        </w:rPr>
      </w:pPr>
      <w:r w:rsidRPr="008C74DC">
        <w:rPr>
          <w:rFonts w:eastAsia="Times New Roman" w:cs="Times New Roman"/>
          <w:color w:val="auto"/>
          <w:szCs w:val="24"/>
          <w:lang w:val="en-US"/>
        </w:rPr>
        <w:t xml:space="preserve">  </w:t>
      </w:r>
      <w:r>
        <w:rPr>
          <w:rFonts w:eastAsia="Times New Roman" w:cs="Times New Roman"/>
          <w:noProof/>
          <w:color w:val="auto"/>
          <w:szCs w:val="24"/>
          <w:lang w:val="en-US"/>
        </w:rPr>
        <w:drawing>
          <wp:inline distT="0" distB="0" distL="0" distR="0" wp14:anchorId="412BED86" wp14:editId="13C3074D">
            <wp:extent cx="5576207" cy="2505395"/>
            <wp:effectExtent l="0" t="0" r="0" b="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99" cy="26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5C6D" w14:textId="5D390668" w:rsidR="00CA1DC7" w:rsidRPr="00CA1DC7" w:rsidRDefault="00CA1DC7" w:rsidP="00CA1DC7">
      <w:pPr>
        <w:rPr>
          <w:szCs w:val="24"/>
          <w:lang w:val="en-CN"/>
        </w:rPr>
      </w:pPr>
    </w:p>
    <w:p w14:paraId="618F6008" w14:textId="08F53E6D" w:rsidR="0010219D" w:rsidRPr="00E5764C" w:rsidRDefault="004C57AE" w:rsidP="00CA1DC7">
      <w:pPr>
        <w:rPr>
          <w:rFonts w:eastAsia="Times New Roman" w:cs="Times New Roman"/>
          <w:color w:val="000000"/>
          <w:szCs w:val="24"/>
          <w:lang w:val="en-US"/>
        </w:rPr>
      </w:pPr>
      <w:r w:rsidRPr="00E5764C">
        <w:rPr>
          <w:rFonts w:eastAsia="Times New Roman" w:cs="Times New Roman"/>
          <w:color w:val="auto"/>
          <w:szCs w:val="24"/>
          <w:lang w:val="en-US"/>
        </w:rPr>
        <w:t xml:space="preserve">Hence, </w:t>
      </w:r>
      <w:r w:rsidR="0010219D" w:rsidRPr="00E5764C">
        <w:rPr>
          <w:rFonts w:eastAsia="Times New Roman" w:cs="Times New Roman"/>
          <w:color w:val="auto"/>
          <w:szCs w:val="24"/>
          <w:lang w:val="en-US"/>
        </w:rPr>
        <w:t xml:space="preserve">I </w:t>
      </w:r>
      <w:r w:rsidRPr="00E5764C">
        <w:rPr>
          <w:rFonts w:eastAsia="Times New Roman" w:cs="Times New Roman"/>
          <w:color w:val="auto"/>
          <w:szCs w:val="24"/>
          <w:lang w:val="en-US"/>
        </w:rPr>
        <w:t xml:space="preserve">can </w:t>
      </w:r>
      <w:r w:rsidR="0010219D" w:rsidRPr="00E5764C">
        <w:rPr>
          <w:rFonts w:eastAsia="Times New Roman" w:cs="Times New Roman"/>
          <w:color w:val="auto"/>
          <w:szCs w:val="24"/>
          <w:lang w:val="en-US"/>
        </w:rPr>
        <w:t>choose these three</w:t>
      </w:r>
      <w:r w:rsidR="00F61CAF" w:rsidRPr="00E5764C">
        <w:rPr>
          <w:rFonts w:eastAsia="Times New Roman" w:cs="Times New Roman"/>
          <w:color w:val="auto"/>
          <w:szCs w:val="24"/>
          <w:lang w:val="en-US"/>
        </w:rPr>
        <w:t xml:space="preserve"> most promising product </w:t>
      </w:r>
      <w:r w:rsidR="0010219D" w:rsidRPr="00E5764C">
        <w:rPr>
          <w:rFonts w:eastAsia="Times New Roman" w:cs="Times New Roman"/>
          <w:color w:val="auto"/>
          <w:szCs w:val="24"/>
          <w:lang w:val="en-US"/>
        </w:rPr>
        <w:t xml:space="preserve">bundles to promote - </w:t>
      </w:r>
      <w:r w:rsidR="0010219D" w:rsidRPr="00E5764C">
        <w:rPr>
          <w:rFonts w:eastAsia="Times New Roman" w:cs="Times New Roman"/>
          <w:color w:val="000000"/>
          <w:szCs w:val="24"/>
          <w:lang w:val="en-CN"/>
        </w:rPr>
        <w:t>{P00142142, P00180142} =&gt;{P00180042}</w:t>
      </w:r>
      <w:r w:rsidR="0010219D" w:rsidRPr="00E5764C">
        <w:rPr>
          <w:rFonts w:eastAsia="Times New Roman" w:cs="Times New Roman"/>
          <w:color w:val="000000"/>
          <w:szCs w:val="24"/>
          <w:lang w:val="en-US"/>
        </w:rPr>
        <w:t xml:space="preserve">, </w:t>
      </w:r>
      <w:r w:rsidR="0010219D" w:rsidRPr="00E5764C">
        <w:rPr>
          <w:rFonts w:eastAsia="Times New Roman" w:cs="Times New Roman"/>
          <w:color w:val="000000"/>
          <w:szCs w:val="24"/>
          <w:lang w:val="en-CN"/>
        </w:rPr>
        <w:t>{P00129842, P00368042} =&gt;{P00368142}</w:t>
      </w:r>
      <w:r w:rsidR="0010219D" w:rsidRPr="00E5764C">
        <w:rPr>
          <w:rFonts w:eastAsia="Times New Roman" w:cs="Times New Roman"/>
          <w:color w:val="000000"/>
          <w:szCs w:val="24"/>
          <w:lang w:val="en-US"/>
        </w:rPr>
        <w:t xml:space="preserve">, </w:t>
      </w:r>
      <w:r w:rsidR="0010219D" w:rsidRPr="00E5764C">
        <w:rPr>
          <w:rFonts w:eastAsia="Times New Roman" w:cs="Times New Roman"/>
          <w:color w:val="000000"/>
          <w:szCs w:val="24"/>
          <w:lang w:val="en-CN"/>
        </w:rPr>
        <w:t>{P00226642, P00324642} =&gt;{P00329342}</w:t>
      </w:r>
      <w:r w:rsidR="0010219D" w:rsidRPr="00E5764C">
        <w:rPr>
          <w:rFonts w:eastAsia="Times New Roman" w:cs="Times New Roman"/>
          <w:color w:val="000000"/>
          <w:szCs w:val="24"/>
          <w:lang w:val="en-US"/>
        </w:rPr>
        <w:t xml:space="preserve">, as they have top lift levels, </w:t>
      </w:r>
      <w:r w:rsidR="00F61CAF" w:rsidRPr="00E5764C">
        <w:rPr>
          <w:rFonts w:eastAsia="Times New Roman" w:cs="Times New Roman"/>
          <w:color w:val="000000"/>
          <w:szCs w:val="24"/>
          <w:lang w:val="en-US"/>
        </w:rPr>
        <w:t>good</w:t>
      </w:r>
      <w:r w:rsidR="0010219D" w:rsidRPr="00E5764C">
        <w:rPr>
          <w:rFonts w:eastAsia="Times New Roman" w:cs="Times New Roman"/>
          <w:color w:val="000000"/>
          <w:szCs w:val="24"/>
          <w:lang w:val="en-US"/>
        </w:rPr>
        <w:t xml:space="preserve"> confidence level</w:t>
      </w:r>
      <w:r w:rsidR="00F61CAF" w:rsidRPr="00E5764C">
        <w:rPr>
          <w:rFonts w:eastAsia="Times New Roman" w:cs="Times New Roman"/>
          <w:color w:val="000000"/>
          <w:szCs w:val="24"/>
          <w:lang w:val="en-US"/>
        </w:rPr>
        <w:t>s</w:t>
      </w:r>
      <w:r w:rsidR="0010219D" w:rsidRPr="00E5764C">
        <w:rPr>
          <w:rFonts w:eastAsia="Times New Roman" w:cs="Times New Roman"/>
          <w:color w:val="000000"/>
          <w:szCs w:val="24"/>
          <w:lang w:val="en-US"/>
        </w:rPr>
        <w:t xml:space="preserve"> (0.8-0.9) and reasonable support</w:t>
      </w:r>
      <w:r w:rsidR="00F61CAF" w:rsidRPr="00E5764C">
        <w:rPr>
          <w:rFonts w:eastAsia="Times New Roman" w:cs="Times New Roman"/>
          <w:color w:val="000000"/>
          <w:szCs w:val="24"/>
          <w:lang w:val="en-US"/>
        </w:rPr>
        <w:t xml:space="preserve"> levels</w:t>
      </w:r>
      <w:r w:rsidR="0010219D" w:rsidRPr="00E5764C">
        <w:rPr>
          <w:rFonts w:eastAsia="Times New Roman" w:cs="Times New Roman"/>
          <w:color w:val="000000"/>
          <w:szCs w:val="24"/>
          <w:lang w:val="en-US"/>
        </w:rPr>
        <w:t xml:space="preserve"> (0.0031)</w:t>
      </w:r>
      <w:r w:rsidRPr="00E5764C">
        <w:rPr>
          <w:rFonts w:eastAsia="Times New Roman" w:cs="Times New Roman"/>
          <w:color w:val="000000"/>
          <w:szCs w:val="24"/>
          <w:lang w:val="en-US"/>
        </w:rPr>
        <w:t xml:space="preserve">. </w:t>
      </w:r>
    </w:p>
    <w:p w14:paraId="56D752D5" w14:textId="77777777" w:rsidR="004C57AE" w:rsidRPr="00E5764C" w:rsidRDefault="004C57AE" w:rsidP="00CA1DC7">
      <w:pPr>
        <w:rPr>
          <w:rFonts w:eastAsia="Times New Roman" w:cs="Times New Roman"/>
          <w:color w:val="auto"/>
          <w:szCs w:val="24"/>
          <w:lang w:val="en-US"/>
        </w:rPr>
      </w:pPr>
    </w:p>
    <w:p w14:paraId="45E1AAF3" w14:textId="1D91954A" w:rsidR="004C57AE" w:rsidRPr="00E5764C" w:rsidRDefault="004C57AE" w:rsidP="00CA1DC7">
      <w:pPr>
        <w:rPr>
          <w:rFonts w:eastAsia="Times New Roman" w:cs="Times New Roman"/>
          <w:color w:val="auto"/>
          <w:szCs w:val="24"/>
          <w:lang w:val="en-US"/>
        </w:rPr>
      </w:pPr>
      <w:r w:rsidRPr="00E5764C">
        <w:rPr>
          <w:rFonts w:eastAsia="Times New Roman" w:cs="Times New Roman"/>
          <w:color w:val="auto"/>
          <w:szCs w:val="24"/>
          <w:lang w:val="en-US"/>
        </w:rPr>
        <w:t>(Note: I also tried the products of best sellers to find out related bundles which could meet the rules. Actually, I can also consider them to promote if I am allowed to promote more.)</w:t>
      </w:r>
    </w:p>
    <w:tbl>
      <w:tblPr>
        <w:tblW w:w="9258" w:type="dxa"/>
        <w:tblInd w:w="225" w:type="dxa"/>
        <w:tblLook w:val="04A0" w:firstRow="1" w:lastRow="0" w:firstColumn="1" w:lastColumn="0" w:noHBand="0" w:noVBand="1"/>
      </w:tblPr>
      <w:tblGrid>
        <w:gridCol w:w="4081"/>
        <w:gridCol w:w="1096"/>
        <w:gridCol w:w="4081"/>
      </w:tblGrid>
      <w:tr w:rsidR="0010219D" w:rsidRPr="00E5764C" w14:paraId="46DDAD1D" w14:textId="77777777" w:rsidTr="0010219D">
        <w:trPr>
          <w:gridAfter w:val="2"/>
          <w:wAfter w:w="5177" w:type="dxa"/>
          <w:trHeight w:val="320"/>
        </w:trPr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8B8" w14:textId="3800D009" w:rsidR="0010219D" w:rsidRPr="00E5764C" w:rsidRDefault="0010219D" w:rsidP="0010219D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N"/>
              </w:rPr>
            </w:pPr>
          </w:p>
        </w:tc>
      </w:tr>
      <w:tr w:rsidR="0010219D" w:rsidRPr="008C74DC" w14:paraId="2EAF51C8" w14:textId="77777777" w:rsidTr="0010219D">
        <w:trPr>
          <w:trHeight w:val="320"/>
        </w:trPr>
        <w:tc>
          <w:tcPr>
            <w:tcW w:w="51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D6BB" w14:textId="588A881D" w:rsidR="0010219D" w:rsidRPr="008C74DC" w:rsidRDefault="0010219D" w:rsidP="00102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9D7" w14:textId="6A023F8C" w:rsidR="0010219D" w:rsidRPr="008C74DC" w:rsidRDefault="0010219D" w:rsidP="001021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n-CN"/>
              </w:rPr>
            </w:pPr>
          </w:p>
        </w:tc>
      </w:tr>
    </w:tbl>
    <w:p w14:paraId="21F19DB8" w14:textId="73C8CCFF" w:rsidR="00030240" w:rsidRPr="00F61CAF" w:rsidRDefault="00030240" w:rsidP="00F61CAF">
      <w:pPr>
        <w:spacing w:after="0" w:line="240" w:lineRule="auto"/>
        <w:rPr>
          <w:rFonts w:eastAsia="Times New Roman" w:cs="Times New Roman"/>
          <w:color w:val="auto"/>
          <w:szCs w:val="24"/>
          <w:lang w:val="en-CN"/>
        </w:rPr>
      </w:pPr>
    </w:p>
    <w:sectPr w:rsidR="00030240" w:rsidRPr="00F61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42DDF"/>
    <w:multiLevelType w:val="multilevel"/>
    <w:tmpl w:val="1E34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A1EC5"/>
    <w:multiLevelType w:val="hybridMultilevel"/>
    <w:tmpl w:val="5E32375A"/>
    <w:lvl w:ilvl="0" w:tplc="D666B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49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C8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48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8C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EE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AE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E9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87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40"/>
    <w:rsid w:val="00030240"/>
    <w:rsid w:val="00040235"/>
    <w:rsid w:val="00053640"/>
    <w:rsid w:val="0006210F"/>
    <w:rsid w:val="000636F3"/>
    <w:rsid w:val="00065F65"/>
    <w:rsid w:val="00072A3C"/>
    <w:rsid w:val="000A1532"/>
    <w:rsid w:val="000C7EA1"/>
    <w:rsid w:val="0010219D"/>
    <w:rsid w:val="0015459A"/>
    <w:rsid w:val="00171FBF"/>
    <w:rsid w:val="001A46EF"/>
    <w:rsid w:val="001A78D3"/>
    <w:rsid w:val="001C124D"/>
    <w:rsid w:val="001F19FA"/>
    <w:rsid w:val="002D4E1A"/>
    <w:rsid w:val="00307F99"/>
    <w:rsid w:val="0033681F"/>
    <w:rsid w:val="00342F16"/>
    <w:rsid w:val="003833A6"/>
    <w:rsid w:val="00412BB1"/>
    <w:rsid w:val="004224F6"/>
    <w:rsid w:val="004C12FD"/>
    <w:rsid w:val="004C57AE"/>
    <w:rsid w:val="004D1FC9"/>
    <w:rsid w:val="004F30E4"/>
    <w:rsid w:val="00547996"/>
    <w:rsid w:val="00641B56"/>
    <w:rsid w:val="00681028"/>
    <w:rsid w:val="007205A7"/>
    <w:rsid w:val="0074774E"/>
    <w:rsid w:val="00762E3A"/>
    <w:rsid w:val="00875629"/>
    <w:rsid w:val="008C74DC"/>
    <w:rsid w:val="008E6A2B"/>
    <w:rsid w:val="00913639"/>
    <w:rsid w:val="00943D6B"/>
    <w:rsid w:val="009D0E31"/>
    <w:rsid w:val="009D4F40"/>
    <w:rsid w:val="009E4C26"/>
    <w:rsid w:val="00A5361E"/>
    <w:rsid w:val="00AD6B07"/>
    <w:rsid w:val="00AE1D7A"/>
    <w:rsid w:val="00B208CC"/>
    <w:rsid w:val="00B24339"/>
    <w:rsid w:val="00BA73F2"/>
    <w:rsid w:val="00C92655"/>
    <w:rsid w:val="00CA1DC7"/>
    <w:rsid w:val="00D030D1"/>
    <w:rsid w:val="00D03EE1"/>
    <w:rsid w:val="00D24DBE"/>
    <w:rsid w:val="00E14F6F"/>
    <w:rsid w:val="00E5764C"/>
    <w:rsid w:val="00F61CAF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B830"/>
  <w15:chartTrackingRefBased/>
  <w15:docId w15:val="{40538D7E-9CBC-434A-87C1-AEDA716D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D6B0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419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126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12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711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968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(Martin) Qiu</dc:creator>
  <cp:keywords/>
  <dc:description/>
  <cp:lastModifiedBy>max li</cp:lastModifiedBy>
  <cp:revision>2</cp:revision>
  <dcterms:created xsi:type="dcterms:W3CDTF">2020-08-05T15:08:00Z</dcterms:created>
  <dcterms:modified xsi:type="dcterms:W3CDTF">2020-08-05T15:08:00Z</dcterms:modified>
</cp:coreProperties>
</file>