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1D2D" w14:textId="77777777" w:rsidR="00E007F0" w:rsidRPr="00BB317E" w:rsidRDefault="00000000">
      <w:pPr>
        <w:pStyle w:val="Ttulo"/>
        <w:rPr>
          <w:lang w:val="pt-BR"/>
        </w:rPr>
      </w:pPr>
      <w:r w:rsidRPr="00BB317E">
        <w:rPr>
          <w:lang w:val="pt-BR"/>
        </w:rPr>
        <w:t>PESQUISA JURISPRUDENCIAL AUMENTADA NO SUPERIOR TRIBUNAL MILITAR: PROPOSTA DE INTEGRAÇÃO ENTRE RAG E GRAFOS PARA ANÁLISE DE ACÓRDÃOS SOBRE</w:t>
      </w:r>
      <w:r w:rsidR="00BB317E" w:rsidRPr="00BB317E">
        <w:rPr>
          <w:lang w:val="pt-BR"/>
        </w:rPr>
        <w:t xml:space="preserve"> </w:t>
      </w:r>
      <w:r w:rsidR="00BB317E">
        <w:rPr>
          <w:lang w:val="pt-BR"/>
        </w:rPr>
        <w:t xml:space="preserve">O CRIME DE </w:t>
      </w:r>
      <w:r w:rsidRPr="00BB317E">
        <w:rPr>
          <w:lang w:val="pt-BR"/>
        </w:rPr>
        <w:t>DESERÇÃO</w:t>
      </w:r>
    </w:p>
    <w:p w14:paraId="08274579" w14:textId="73D9453F" w:rsidR="004F1194" w:rsidRPr="004F1194" w:rsidRDefault="004F1194">
      <w:pPr>
        <w:spacing w:line="240" w:lineRule="auto"/>
        <w:ind w:firstLine="0"/>
        <w:jc w:val="center"/>
        <w:rPr>
          <w:b/>
          <w:lang w:val="pt-BR"/>
        </w:rPr>
      </w:pPr>
      <w:r>
        <w:rPr>
          <w:b/>
          <w:lang w:val="pt-BR"/>
        </w:rPr>
        <w:t xml:space="preserve">Docente: Prof. Dr. </w:t>
      </w:r>
      <w:r w:rsidRPr="004F1194">
        <w:rPr>
          <w:b/>
          <w:bCs/>
          <w:lang w:val="pt-BR"/>
        </w:rPr>
        <w:t>Aloísio Dourado Neto</w:t>
      </w:r>
    </w:p>
    <w:p w14:paraId="69A1175E" w14:textId="4E465BAE" w:rsidR="00E007F0" w:rsidRPr="00BB317E" w:rsidRDefault="004F1194">
      <w:pPr>
        <w:spacing w:line="240" w:lineRule="auto"/>
        <w:ind w:firstLine="0"/>
        <w:jc w:val="center"/>
        <w:rPr>
          <w:lang w:val="pt-BR"/>
        </w:rPr>
      </w:pPr>
      <w:r>
        <w:rPr>
          <w:b/>
          <w:lang w:val="pt-BR"/>
        </w:rPr>
        <w:t xml:space="preserve">Discente: </w:t>
      </w:r>
      <w:r w:rsidR="00000000" w:rsidRPr="00BB317E">
        <w:rPr>
          <w:b/>
          <w:lang w:val="pt-BR"/>
        </w:rPr>
        <w:t>Alexandre Hugo Santana Sampaio Netto</w:t>
      </w:r>
      <w:r w:rsidR="00000000" w:rsidRPr="00BB317E">
        <w:rPr>
          <w:b/>
          <w:lang w:val="pt-BR"/>
        </w:rPr>
        <w:br/>
      </w:r>
      <w:r w:rsidR="00000000" w:rsidRPr="00BB317E">
        <w:rPr>
          <w:lang w:val="pt-BR"/>
        </w:rPr>
        <w:t>Matrícula: 1914824 | E-mail: xnetto2@hotmail.com</w:t>
      </w:r>
      <w:r w:rsidR="00000000" w:rsidRPr="00BB317E">
        <w:rPr>
          <w:lang w:val="pt-BR"/>
        </w:rPr>
        <w:br/>
        <w:t>Superior Tribunal Militar — área judiciária</w:t>
      </w:r>
    </w:p>
    <w:p w14:paraId="640A710D" w14:textId="77777777" w:rsidR="003525D6" w:rsidRDefault="003525D6">
      <w:pPr>
        <w:pStyle w:val="Ttulo1"/>
        <w:rPr>
          <w:lang w:val="pt-BR"/>
        </w:rPr>
      </w:pPr>
    </w:p>
    <w:p w14:paraId="7F9FDBE2" w14:textId="77777777" w:rsidR="00E007F0" w:rsidRDefault="00000000">
      <w:pPr>
        <w:pStyle w:val="Ttulo1"/>
        <w:rPr>
          <w:lang w:val="pt-BR"/>
        </w:rPr>
      </w:pPr>
      <w:r w:rsidRPr="00BB317E">
        <w:rPr>
          <w:lang w:val="pt-BR"/>
        </w:rPr>
        <w:t>1 CONTEXTUALIZAÇÃO E DESCRIÇÃO DO PROBLEMA</w:t>
      </w:r>
    </w:p>
    <w:p w14:paraId="32C356FA" w14:textId="77777777" w:rsidR="003525D6" w:rsidRPr="003525D6" w:rsidRDefault="003525D6" w:rsidP="003525D6">
      <w:pPr>
        <w:rPr>
          <w:lang w:val="pt-BR"/>
        </w:rPr>
      </w:pPr>
    </w:p>
    <w:p w14:paraId="0AEC81A0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>A pesquisa jurisprudencial é atividade recorrente no apoio à prestação jurisdicional. No Superior Tribunal Militar (STM), o acervo público reúne acórdãos e metadados que registram a interpretação do Direito Penal e Processual Penal Militar. Questões complexas, porém, exigem localizar julgados materialmente próximos, reconstruir cadeias de precedentes e distinguir decisões com vocabulário semelhante em contextos fáticos diferentes.</w:t>
      </w:r>
    </w:p>
    <w:p w14:paraId="2E359192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>O problema torna-se particularmente sensível nos julgamentos relativos ao crime de deserção e à alegação de estado de necessidade exculpante. A resposta jurídica pode depender da articulação entre fatos provados, requisitos da excludente, dispositivos do Código Penal Militar, súmulas e precedentes. A dispersão dessas relações em documentos extensos amplia o tempo de pesquisa e dificulta a visualização da evolução do entendimento, sobretudo quando a correspondência terminológica não traduz equivalência jurídica.</w:t>
      </w:r>
    </w:p>
    <w:p w14:paraId="581E5B97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 xml:space="preserve">Propõe-se, por isso, uma arquitetura de pesquisa jurisprudencial que combine geração aumentada por recuperação </w:t>
      </w:r>
      <w:r w:rsidR="003525D6">
        <w:rPr>
          <w:lang w:val="pt-BR"/>
        </w:rPr>
        <w:t>(</w:t>
      </w:r>
      <w:proofErr w:type="spellStart"/>
      <w:r w:rsidRPr="00BB317E">
        <w:rPr>
          <w:lang w:val="pt-BR"/>
        </w:rPr>
        <w:t>Retrieval</w:t>
      </w:r>
      <w:proofErr w:type="spellEnd"/>
      <w:r w:rsidR="003525D6">
        <w:rPr>
          <w:lang w:val="pt-BR"/>
        </w:rPr>
        <w:t xml:space="preserve"> </w:t>
      </w:r>
      <w:proofErr w:type="spellStart"/>
      <w:r w:rsidRPr="00BB317E">
        <w:rPr>
          <w:lang w:val="pt-BR"/>
        </w:rPr>
        <w:t>Augmented</w:t>
      </w:r>
      <w:proofErr w:type="spellEnd"/>
      <w:r w:rsidRPr="00BB317E">
        <w:rPr>
          <w:lang w:val="pt-BR"/>
        </w:rPr>
        <w:t xml:space="preserve"> Generation </w:t>
      </w:r>
      <w:r w:rsidR="003525D6">
        <w:rPr>
          <w:lang w:val="pt-BR"/>
        </w:rPr>
        <w:t xml:space="preserve">- </w:t>
      </w:r>
      <w:r w:rsidRPr="00BB317E">
        <w:rPr>
          <w:lang w:val="pt-BR"/>
        </w:rPr>
        <w:t>RAG) e grafos de conhecimento. A pergunta orientadora é: como essa integração pode aprimorar a pesquisa, a rastreabilidade dos fundamentos e a identificação de relações jurisprudenciais em acórdãos do STM sobre deserção e estado de necessidade exculpante?</w:t>
      </w:r>
    </w:p>
    <w:p w14:paraId="1FAC899F" w14:textId="77777777" w:rsidR="00E007F0" w:rsidRDefault="00000000">
      <w:pPr>
        <w:rPr>
          <w:lang w:val="pt-BR"/>
        </w:rPr>
      </w:pPr>
      <w:r w:rsidRPr="00BB317E">
        <w:rPr>
          <w:lang w:val="pt-BR"/>
        </w:rPr>
        <w:t>O objetivo geral é propor uma arquitetura capaz de recuperar, relacionar e sintetizar o conteúdo dos acórdãos com indicação verificável das fontes. Especificamente, pretende-se estruturar metadados e unidades argumentativas; combinar filtros, busca semântica e expansão por grafo; representar relações jurídicas; gerar respostas acompanhadas dos excertos de origem; e definir critérios de avaliação, governança e supervisão humana.</w:t>
      </w:r>
    </w:p>
    <w:p w14:paraId="39286377" w14:textId="77777777" w:rsidR="001A2811" w:rsidRPr="00BB317E" w:rsidRDefault="001A2811">
      <w:pPr>
        <w:rPr>
          <w:lang w:val="pt-BR"/>
        </w:rPr>
      </w:pPr>
    </w:p>
    <w:p w14:paraId="5D7CA9BD" w14:textId="77777777" w:rsidR="00E007F0" w:rsidRDefault="00000000">
      <w:pPr>
        <w:pStyle w:val="Ttulo1"/>
        <w:rPr>
          <w:lang w:val="pt-BR"/>
        </w:rPr>
      </w:pPr>
      <w:r w:rsidRPr="00BB317E">
        <w:rPr>
          <w:lang w:val="pt-BR"/>
        </w:rPr>
        <w:t>2 FUNDAMENTAÇÃO E TÉCNICAS SELECIONADAS</w:t>
      </w:r>
    </w:p>
    <w:p w14:paraId="1288ABE1" w14:textId="77777777" w:rsidR="001A2811" w:rsidRPr="001A2811" w:rsidRDefault="001A2811" w:rsidP="001A2811">
      <w:pPr>
        <w:rPr>
          <w:lang w:val="pt-BR"/>
        </w:rPr>
      </w:pPr>
    </w:p>
    <w:p w14:paraId="20367FA7" w14:textId="77777777" w:rsidR="00E007F0" w:rsidRPr="00BB317E" w:rsidRDefault="00000000">
      <w:pPr>
        <w:rPr>
          <w:lang w:val="pt-BR"/>
        </w:rPr>
      </w:pPr>
      <w:r w:rsidRPr="007E2AFB">
        <w:rPr>
          <w:lang w:val="pt-BR"/>
        </w:rPr>
        <w:lastRenderedPageBreak/>
        <w:t>O RAG associa um modelo generativo a um mecanismo externo de recuperação. A resposta é condicionada por documentos selecionados na consulta, favorecendo atualização, especialização e indicação das evidências utilizadas (LEWIS et al., 2020). No campo jurídico, a busca vetorial isolada pode recuperar trechos próximos sem revelar relações de citação, aplicação normativa, adoção de tese, distinção ou superação. Estudos empíricos mostram que o desenho do pipeline deve equilibrar qualidade e eficiência (WANG et al., 2024).</w:t>
      </w:r>
    </w:p>
    <w:p w14:paraId="65CBE3E3" w14:textId="77777777" w:rsidR="00E007F0" w:rsidRPr="00BB317E" w:rsidRDefault="00000000">
      <w:pPr>
        <w:rPr>
          <w:lang w:val="pt-BR"/>
        </w:rPr>
      </w:pPr>
      <w:r w:rsidRPr="007E2AFB">
        <w:rPr>
          <w:lang w:val="pt-BR"/>
        </w:rPr>
        <w:t>O grafo de conhecimento complementa essa limitação ao representar entidades e vínculos jurídicos. No modelo proposto, Acórdão, Tema, Tese, Norma, Súmula e Precedente constituem nós; TRATA_DE, APLICA, CITA, ADOTA_TESE, DISTINGUE, DIVERGE_DE e SUPERA constituem relações. A integração permite partir de um fragmento semanticamente relevante e percorrer conexões que uma busca puramente lexical ou vetorial não evidencia. Abordagens GraphRAG demonstram a utilidade de estruturas relacionais para organizar corpus extensos e apoiar respostas que demandem visão global (EDGE et al., 2024). LLMs e grafos são complementares na representação e na consulta de conhecimento estruturado (PAN et al., 2024), inclusive em recuperação multi-hop apoiada por PageRank (GUTIÉRREZ et al., 2024).</w:t>
      </w:r>
    </w:p>
    <w:p w14:paraId="59F25A79" w14:textId="77777777" w:rsidR="00E007F0" w:rsidRDefault="00000000">
      <w:pPr>
        <w:rPr>
          <w:lang w:val="pt-BR"/>
        </w:rPr>
      </w:pPr>
      <w:r w:rsidRPr="00BB317E">
        <w:rPr>
          <w:lang w:val="pt-BR"/>
        </w:rPr>
        <w:t>A proposição central é que a recuperação semântica combinada à navegação por relações jurídicas tende a oferecer maior rastreabilidade e cobertura de precedentes do que a pesquisa lexical ou o RAG vetorial isolado, desde que as respostas permaneçam vinculadas às fontes e à conferência humana. Não se pressupõe aumento de correção decisória.</w:t>
      </w:r>
    </w:p>
    <w:p w14:paraId="4185BA16" w14:textId="77777777" w:rsidR="007B559C" w:rsidRPr="00BB317E" w:rsidRDefault="007B559C">
      <w:pPr>
        <w:rPr>
          <w:lang w:val="pt-BR"/>
        </w:rPr>
      </w:pPr>
    </w:p>
    <w:p w14:paraId="4240A792" w14:textId="77777777" w:rsidR="00E007F0" w:rsidRPr="00BB317E" w:rsidRDefault="00000000">
      <w:pPr>
        <w:pStyle w:val="Ttulo1"/>
        <w:rPr>
          <w:lang w:val="pt-BR"/>
        </w:rPr>
      </w:pPr>
      <w:r w:rsidRPr="00BB317E">
        <w:rPr>
          <w:lang w:val="pt-BR"/>
        </w:rPr>
        <w:t>3 METODOLOGIA PROPOSTA E DADOS</w:t>
      </w:r>
    </w:p>
    <w:p w14:paraId="4569741D" w14:textId="77777777" w:rsidR="007B559C" w:rsidRDefault="007B559C">
      <w:pPr>
        <w:rPr>
          <w:lang w:val="pt-BR"/>
        </w:rPr>
      </w:pPr>
    </w:p>
    <w:p w14:paraId="799861D6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 xml:space="preserve">O </w:t>
      </w:r>
      <w:r w:rsidRPr="007B559C">
        <w:rPr>
          <w:i/>
          <w:iCs/>
          <w:lang w:val="pt-BR"/>
        </w:rPr>
        <w:t>corpus</w:t>
      </w:r>
      <w:r w:rsidRPr="00BB317E">
        <w:rPr>
          <w:lang w:val="pt-BR"/>
        </w:rPr>
        <w:t xml:space="preserve"> piloto abrangerá acórdãos públicos do STM publicados entre 01.01.2021 e 31.12.2025 e associados à deserção e ao estado de necessidade exculpante. Precedentes anteriores citados nesses documentos poderão ser incorporados para preservar a cadeia jurisprudencial. As fontes previstas são a Consulta Judicial Unificada e o repositório institucional de Acórdãos e </w:t>
      </w:r>
      <w:r w:rsidR="008A1B8D">
        <w:rPr>
          <w:lang w:val="pt-BR"/>
        </w:rPr>
        <w:t xml:space="preserve">enunciados de </w:t>
      </w:r>
      <w:r w:rsidRPr="00BB317E">
        <w:rPr>
          <w:lang w:val="pt-BR"/>
        </w:rPr>
        <w:t>Súmula. Serão coletados apenas documentos oficialmente disponibilizados, com seus metadados de origem, sem reidentificação ou enriquecimento desnecessário de dados pessoais.</w:t>
      </w:r>
    </w:p>
    <w:p w14:paraId="65EE3EC2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 xml:space="preserve">A ingestão será realizada em Python, com </w:t>
      </w:r>
      <w:proofErr w:type="spellStart"/>
      <w:r w:rsidRPr="00BB317E">
        <w:rPr>
          <w:lang w:val="pt-BR"/>
        </w:rPr>
        <w:t>PyMuPDF</w:t>
      </w:r>
      <w:proofErr w:type="spellEnd"/>
      <w:r w:rsidRPr="00BB317E">
        <w:rPr>
          <w:lang w:val="pt-BR"/>
        </w:rPr>
        <w:t xml:space="preserve"> ou </w:t>
      </w:r>
      <w:proofErr w:type="spellStart"/>
      <w:r w:rsidRPr="00BB317E">
        <w:rPr>
          <w:lang w:val="pt-BR"/>
        </w:rPr>
        <w:t>pdfplumber</w:t>
      </w:r>
      <w:proofErr w:type="spellEnd"/>
      <w:r w:rsidRPr="00BB317E">
        <w:rPr>
          <w:lang w:val="pt-BR"/>
        </w:rPr>
        <w:t xml:space="preserve"> para extração dos </w:t>
      </w:r>
      <w:proofErr w:type="spellStart"/>
      <w:r w:rsidRPr="00BB317E">
        <w:rPr>
          <w:lang w:val="pt-BR"/>
        </w:rPr>
        <w:t>PDFs</w:t>
      </w:r>
      <w:proofErr w:type="spellEnd"/>
      <w:r w:rsidRPr="00BB317E">
        <w:rPr>
          <w:lang w:val="pt-BR"/>
        </w:rPr>
        <w:t xml:space="preserve"> e pandas para normalização dos metadados. O processo verificará falhas de OCR, páginas ausentes, duplicidades e correspondência com o registro oficial. Extrações insuficientes serão sinalizadas para correção ou exclusão justificada.</w:t>
      </w:r>
    </w:p>
    <w:p w14:paraId="7FEA8797" w14:textId="77777777" w:rsidR="00E007F0" w:rsidRPr="00BB317E" w:rsidRDefault="00000000">
      <w:pPr>
        <w:pStyle w:val="Ttulo1"/>
        <w:rPr>
          <w:lang w:val="pt-BR"/>
        </w:rPr>
      </w:pPr>
      <w:r w:rsidRPr="00BB317E">
        <w:rPr>
          <w:lang w:val="pt-BR"/>
        </w:rPr>
        <w:lastRenderedPageBreak/>
        <w:t>3.1 Segmentação, indexação e representação do conhecimento</w:t>
      </w:r>
    </w:p>
    <w:p w14:paraId="6360BA5E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>A segmentação será hierárquica e orientada pela estrutura jurídica. Ementa e dispositivo serão preservados integralmente; relatório e voto serão divididos por unidades temáticas. Como os fundamentos nem sempre têm título próprio, serão identificados dentro do voto. Um limite de tokens e pequena sobreposição entre blocos atuarão como proteções técnicas, sem substituir a coerência semântica.</w:t>
      </w:r>
    </w:p>
    <w:p w14:paraId="10DA9493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 xml:space="preserve">Cada </w:t>
      </w:r>
      <w:proofErr w:type="spellStart"/>
      <w:r w:rsidRPr="00BB317E">
        <w:rPr>
          <w:lang w:val="pt-BR"/>
        </w:rPr>
        <w:t>chunk</w:t>
      </w:r>
      <w:proofErr w:type="spellEnd"/>
      <w:r w:rsidRPr="00BB317E">
        <w:rPr>
          <w:lang w:val="pt-BR"/>
        </w:rPr>
        <w:t xml:space="preserve"> conservará número do processo, classe, assunto, relator, data, seção, página e ligação com o acórdão integral. Essa proveniência evita que fatos do relatório sejam confundidos com fundamentos ou que o dispositivo seja apresentado como argumento. Os </w:t>
      </w:r>
      <w:proofErr w:type="spellStart"/>
      <w:r w:rsidRPr="00BB317E">
        <w:rPr>
          <w:lang w:val="pt-BR"/>
        </w:rPr>
        <w:t>embeddings</w:t>
      </w:r>
      <w:proofErr w:type="spellEnd"/>
      <w:r w:rsidRPr="00BB317E">
        <w:rPr>
          <w:lang w:val="pt-BR"/>
        </w:rPr>
        <w:t xml:space="preserve"> serão armazenados em </w:t>
      </w:r>
      <w:proofErr w:type="spellStart"/>
      <w:r w:rsidRPr="00BB317E">
        <w:rPr>
          <w:lang w:val="pt-BR"/>
        </w:rPr>
        <w:t>ChromaDB</w:t>
      </w:r>
      <w:proofErr w:type="spellEnd"/>
      <w:r w:rsidRPr="00BB317E">
        <w:rPr>
          <w:lang w:val="pt-BR"/>
        </w:rPr>
        <w:t xml:space="preserve"> ou FAISS. Filtros estruturados reduzirão o espaço de busca por período, classe, assunto e dispositivo antes da recuperação vetorial.</w:t>
      </w:r>
    </w:p>
    <w:p w14:paraId="2C827883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 xml:space="preserve">A extração do grafo adotará método híbrido. Regras localizarão processos, artigos, súmulas e citações; metadados oficiais fornecerão classes e assuntos; um modelo de linguagem poderá sugerir questões, teses e fundamentos. </w:t>
      </w:r>
      <w:proofErr w:type="spellStart"/>
      <w:r w:rsidRPr="00BB317E">
        <w:rPr>
          <w:lang w:val="pt-BR"/>
        </w:rPr>
        <w:t>NetworkX</w:t>
      </w:r>
      <w:proofErr w:type="spellEnd"/>
      <w:r w:rsidRPr="00BB317E">
        <w:rPr>
          <w:lang w:val="pt-BR"/>
        </w:rPr>
        <w:t xml:space="preserve"> atenderá ao protótipo, e Neo4j à futura escalabilidade. Toda relação inferida armazenará origem, fragmento comprobatório, método, confiança e estado de conferência.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E007F0" w14:paraId="53179A66" w14:textId="77777777">
        <w:tc>
          <w:tcPr>
            <w:tcW w:w="1568" w:type="dxa"/>
            <w:shd w:val="clear" w:color="auto" w:fill="D9EAF7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455FA68" w14:textId="77777777" w:rsidR="00E007F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Acórdãos</w:t>
            </w:r>
            <w:proofErr w:type="spellEnd"/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públicos</w:t>
            </w:r>
            <w:proofErr w:type="spellEnd"/>
          </w:p>
        </w:tc>
        <w:tc>
          <w:tcPr>
            <w:tcW w:w="1568" w:type="dxa"/>
            <w:shd w:val="clear" w:color="auto" w:fill="EDEDED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1741FD5" w14:textId="77777777" w:rsidR="00E007F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Extração e</w:t>
            </w:r>
            <w:r>
              <w:rPr>
                <w:b/>
              </w:rPr>
              <w:br/>
              <w:t>segmentação</w:t>
            </w:r>
          </w:p>
        </w:tc>
        <w:tc>
          <w:tcPr>
            <w:tcW w:w="1568" w:type="dxa"/>
            <w:shd w:val="clear" w:color="auto" w:fill="D9EAF7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EF5DCC3" w14:textId="77777777" w:rsidR="00E007F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Embeddings e</w:t>
            </w:r>
            <w:r>
              <w:rPr>
                <w:b/>
              </w:rPr>
              <w:br/>
              <w:t>entidades</w:t>
            </w:r>
          </w:p>
        </w:tc>
        <w:tc>
          <w:tcPr>
            <w:tcW w:w="1568" w:type="dxa"/>
            <w:shd w:val="clear" w:color="auto" w:fill="EDEDED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922E907" w14:textId="77777777" w:rsidR="00E007F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Base vetorial</w:t>
            </w:r>
            <w:r>
              <w:rPr>
                <w:b/>
              </w:rPr>
              <w:br/>
              <w:t>+ grafo</w:t>
            </w:r>
          </w:p>
        </w:tc>
        <w:tc>
          <w:tcPr>
            <w:tcW w:w="1568" w:type="dxa"/>
            <w:shd w:val="clear" w:color="auto" w:fill="D9EAF7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3B527042" w14:textId="77777777" w:rsidR="00E007F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Recuperação</w:t>
            </w:r>
            <w:r>
              <w:rPr>
                <w:b/>
              </w:rPr>
              <w:br/>
              <w:t>híbrida</w:t>
            </w:r>
          </w:p>
        </w:tc>
        <w:tc>
          <w:tcPr>
            <w:tcW w:w="1568" w:type="dxa"/>
            <w:shd w:val="clear" w:color="auto" w:fill="EDEDED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64A96F16" w14:textId="77777777" w:rsidR="00E007F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Resposta citada</w:t>
            </w:r>
            <w:r>
              <w:rPr>
                <w:b/>
              </w:rPr>
              <w:br/>
              <w:t>+ mapa</w:t>
            </w:r>
          </w:p>
        </w:tc>
      </w:tr>
    </w:tbl>
    <w:p w14:paraId="4B8B1B1D" w14:textId="77777777" w:rsidR="00E007F0" w:rsidRPr="00BB317E" w:rsidRDefault="00000000">
      <w:pPr>
        <w:ind w:firstLine="0"/>
        <w:jc w:val="center"/>
        <w:rPr>
          <w:lang w:val="pt-BR"/>
        </w:rPr>
      </w:pPr>
      <w:r w:rsidRPr="00BB317E">
        <w:rPr>
          <w:sz w:val="20"/>
          <w:lang w:val="pt-BR"/>
        </w:rPr>
        <w:t>Figura 1 — Fluxo conceitual da solução proposta</w:t>
      </w:r>
    </w:p>
    <w:p w14:paraId="329BFC21" w14:textId="77777777" w:rsidR="00E007F0" w:rsidRPr="00BB317E" w:rsidRDefault="00000000">
      <w:pPr>
        <w:pStyle w:val="Ttulo1"/>
        <w:rPr>
          <w:lang w:val="pt-BR"/>
        </w:rPr>
      </w:pPr>
      <w:r w:rsidRPr="00BB317E">
        <w:rPr>
          <w:lang w:val="pt-BR"/>
        </w:rPr>
        <w:t>3.2 Recuperação híbrida e geração da resposta</w:t>
      </w:r>
    </w:p>
    <w:p w14:paraId="25245A9A" w14:textId="77777777" w:rsidR="00E007F0" w:rsidRPr="00BB317E" w:rsidRDefault="00000000">
      <w:pPr>
        <w:rPr>
          <w:lang w:val="pt-BR"/>
        </w:rPr>
      </w:pPr>
      <w:r w:rsidRPr="007E2AFB">
        <w:rPr>
          <w:lang w:val="pt-BR"/>
        </w:rPr>
        <w:t>A consulta será processada em seis etapas: aplicação de filtros; recuperação dos chunks semanticamente próximos; expansão para normas, precedentes, súmulas e teses conectadas; reordenação por relevância; geração condicionada às evidências; e apresentação conjunta da resposta, dos excertos, dos documentos e do caminho percorrido no grafo. A ferramenta deverá declarar insuficiência de evidências quando o corpus não sustentar uma conclusão. A expansão de chunks semânticos pelo grafo segue estratégia avaliada no KG2RAG (ZHU et al., 2025).</w:t>
      </w:r>
    </w:p>
    <w:p w14:paraId="7EB48CE6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>Uma possível divergência material será apenas sinalizada, nunca afirmada autonomamente. O sistema exibirá trechos, fundamentos, resultados e distinções identificadas, deixando a qualificação jurídica ao usuário. Também não classificará magistrados, avaliará desempenho decisório nem formará perfis de partes ou profissionais.</w:t>
      </w:r>
    </w:p>
    <w:p w14:paraId="6F8E5447" w14:textId="77777777" w:rsidR="00E007F0" w:rsidRPr="00BB317E" w:rsidRDefault="00000000">
      <w:pPr>
        <w:pStyle w:val="Ttulo1"/>
        <w:rPr>
          <w:lang w:val="pt-BR"/>
        </w:rPr>
      </w:pPr>
      <w:r w:rsidRPr="00BB317E">
        <w:rPr>
          <w:lang w:val="pt-BR"/>
        </w:rPr>
        <w:t>3.3 Avaliação, segurança e governança</w:t>
      </w:r>
    </w:p>
    <w:p w14:paraId="42442A65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 xml:space="preserve">Consultas elaboradas pelo autor servirão a testes preliminares, com conferência manual das respostas e fontes. Serão comparadas pesquisa lexical, RAG vetorial e RAG-grafo. </w:t>
      </w:r>
      <w:proofErr w:type="spellStart"/>
      <w:r w:rsidRPr="00BB317E">
        <w:rPr>
          <w:lang w:val="pt-BR"/>
        </w:rPr>
        <w:t>Precision@k</w:t>
      </w:r>
      <w:proofErr w:type="spellEnd"/>
      <w:r w:rsidRPr="00BB317E">
        <w:rPr>
          <w:lang w:val="pt-BR"/>
        </w:rPr>
        <w:t xml:space="preserve"> e </w:t>
      </w:r>
      <w:proofErr w:type="spellStart"/>
      <w:r w:rsidRPr="00BB317E">
        <w:rPr>
          <w:lang w:val="pt-BR"/>
        </w:rPr>
        <w:t>Recall@k</w:t>
      </w:r>
      <w:proofErr w:type="spellEnd"/>
      <w:r w:rsidRPr="00BB317E">
        <w:rPr>
          <w:lang w:val="pt-BR"/>
        </w:rPr>
        <w:t xml:space="preserve"> avaliarão relevância e cobertura; correção das citações, fidelidade, elementos esperados e tempo </w:t>
      </w:r>
      <w:r w:rsidRPr="00BB317E">
        <w:rPr>
          <w:lang w:val="pt-BR"/>
        </w:rPr>
        <w:lastRenderedPageBreak/>
        <w:t>complementarão a análise. A inexistência de avaliação independente será explicitada, e nenhuma métrica será apresentada antes de calculada.</w:t>
      </w:r>
    </w:p>
    <w:p w14:paraId="4C1B2F3F" w14:textId="77777777" w:rsidR="00E007F0" w:rsidRPr="00BB317E" w:rsidRDefault="00000000">
      <w:pPr>
        <w:rPr>
          <w:lang w:val="pt-BR"/>
        </w:rPr>
      </w:pPr>
      <w:r w:rsidRPr="003525D6">
        <w:rPr>
          <w:lang w:val="pt-BR"/>
        </w:rPr>
        <w:t xml:space="preserve">Embora os acórdãos sejam públicos, o protótipo utiliza uma base de trabalho anonimizada antes da segmentação e da indexação. O processamento substitui identificadores pessoais e nomes associados a papéis privados, preserva os agentes públicos necessários à compreensão do julgado e produz relatórios para conferência humana. A anonimização é adotada como controle de redução da exposição, sem ser tratada como garantia absoluta contra reidentificação. Essa medida concretiza os princípios da finalidade, adequação, necessidade, segurança, prevenção e prestação de contas previstos na Lei Geral de Proteção de Dados Pessoais. Os arquivos oficiais permanecem separados da base de consulta, com proveniência, </w:t>
      </w:r>
      <w:proofErr w:type="spellStart"/>
      <w:r w:rsidRPr="003525D6">
        <w:rPr>
          <w:lang w:val="pt-BR"/>
        </w:rPr>
        <w:t>hashes</w:t>
      </w:r>
      <w:proofErr w:type="spellEnd"/>
      <w:r w:rsidRPr="003525D6">
        <w:rPr>
          <w:lang w:val="pt-BR"/>
        </w:rPr>
        <w:t>, versionamento, retenção definida e procedimento de correção, enquanto atributos pessoais sem utilidade jurídica são excluídos do índice.</w:t>
      </w:r>
    </w:p>
    <w:p w14:paraId="49F05376" w14:textId="77777777" w:rsidR="00E007F0" w:rsidRDefault="00000000">
      <w:pPr>
        <w:rPr>
          <w:lang w:val="pt-BR"/>
        </w:rPr>
      </w:pPr>
      <w:r w:rsidRPr="00BB317E">
        <w:rPr>
          <w:lang w:val="pt-BR"/>
        </w:rPr>
        <w:t xml:space="preserve">A supervisão humana é requisito funcional: a resposta não servirá como decisão automática e inferências sem fonte não serão exibidas como fatos. Para mitigar prompt </w:t>
      </w:r>
      <w:proofErr w:type="spellStart"/>
      <w:r w:rsidRPr="00BB317E">
        <w:rPr>
          <w:lang w:val="pt-BR"/>
        </w:rPr>
        <w:t>injection</w:t>
      </w:r>
      <w:proofErr w:type="spellEnd"/>
      <w:r w:rsidRPr="00BB317E">
        <w:rPr>
          <w:lang w:val="pt-BR"/>
        </w:rPr>
        <w:t xml:space="preserve">, o conteúdo recuperado será tratado como dado, não como instrução. Controle de acesso e versionamento do </w:t>
      </w:r>
      <w:r w:rsidRPr="001F0E6B">
        <w:rPr>
          <w:i/>
          <w:iCs/>
          <w:lang w:val="pt-BR"/>
        </w:rPr>
        <w:t>corpus</w:t>
      </w:r>
      <w:r w:rsidRPr="00BB317E">
        <w:rPr>
          <w:lang w:val="pt-BR"/>
        </w:rPr>
        <w:t xml:space="preserve"> e dos parâmetros apoiarão a auditoria.</w:t>
      </w:r>
    </w:p>
    <w:p w14:paraId="23BEABF6" w14:textId="77777777" w:rsidR="001F0E6B" w:rsidRPr="00BB317E" w:rsidRDefault="001F0E6B">
      <w:pPr>
        <w:rPr>
          <w:lang w:val="pt-BR"/>
        </w:rPr>
      </w:pPr>
    </w:p>
    <w:p w14:paraId="64D7CAE4" w14:textId="77777777" w:rsidR="00E007F0" w:rsidRPr="00BB317E" w:rsidRDefault="00000000">
      <w:pPr>
        <w:pStyle w:val="Ttulo1"/>
        <w:rPr>
          <w:lang w:val="pt-BR"/>
        </w:rPr>
      </w:pPr>
      <w:r w:rsidRPr="00BB317E">
        <w:rPr>
          <w:lang w:val="pt-BR"/>
        </w:rPr>
        <w:t>4 RESULTADOS ESPERADOS E IMPACTO</w:t>
      </w:r>
    </w:p>
    <w:p w14:paraId="458F7474" w14:textId="77777777" w:rsidR="001F0E6B" w:rsidRDefault="001F0E6B">
      <w:pPr>
        <w:rPr>
          <w:lang w:val="pt-BR"/>
        </w:rPr>
      </w:pPr>
    </w:p>
    <w:p w14:paraId="2B736800" w14:textId="77777777" w:rsidR="00E007F0" w:rsidRPr="00BB317E" w:rsidRDefault="00245A62">
      <w:pPr>
        <w:rPr>
          <w:lang w:val="pt-BR"/>
        </w:rPr>
      </w:pPr>
      <w:r>
        <w:rPr>
          <w:lang w:val="pt-BR"/>
        </w:rPr>
        <w:t xml:space="preserve">Produziu-se </w:t>
      </w:r>
      <w:r w:rsidRPr="00BB317E">
        <w:rPr>
          <w:lang w:val="pt-BR"/>
        </w:rPr>
        <w:t>uma interface de pesquisa capaz de responder a questões sobre deserção com citações verificáveis, mapa de precedentes e linha do tempo da evolução jurisprudencial. O principal benefício institucional esperado é reduzir o tempo necessário à pesquisa sem sacrificar a rastreabilidade dos fundamentos. Como efeitos complementares, projetam-se maior cobertura de julgados relacionados, visualização de cadeias de citação e identificação assistida de distinções ou possíveis divergências.</w:t>
      </w:r>
    </w:p>
    <w:p w14:paraId="05698405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 xml:space="preserve">A proposta não substitui a consulta ao inteiro teor nem a interpretação jurídica. Entre as limitações estão erros de OCR; variações documentais; dificuldade de distinguir fundamento determinante de argumento acessório; perda de contexto no </w:t>
      </w:r>
      <w:proofErr w:type="spellStart"/>
      <w:r w:rsidRPr="00BB317E">
        <w:rPr>
          <w:lang w:val="pt-BR"/>
        </w:rPr>
        <w:t>chunking</w:t>
      </w:r>
      <w:proofErr w:type="spellEnd"/>
      <w:r w:rsidRPr="00BB317E">
        <w:rPr>
          <w:lang w:val="pt-BR"/>
        </w:rPr>
        <w:t>; omissões; alucinações; citações incorretas; falsos alertas de divergência; dependência dos metadados; e atualização contínua.</w:t>
      </w:r>
    </w:p>
    <w:p w14:paraId="3BFA7A40" w14:textId="77777777" w:rsidR="00E007F0" w:rsidRDefault="00000000">
      <w:pPr>
        <w:rPr>
          <w:lang w:val="pt-BR"/>
        </w:rPr>
      </w:pPr>
      <w:r w:rsidRPr="00BB317E">
        <w:rPr>
          <w:lang w:val="pt-BR"/>
        </w:rPr>
        <w:t>A viabilidade decorre do acervo público, de bibliotecas consolidadas e da implantação incremental: ingestão e busca semântica; extração do grafo; recuperação híbrida e testes comparativos. O fracionamento reduz o risco e permite corrigir falhas antes da ampliação para outras matérias.</w:t>
      </w:r>
    </w:p>
    <w:p w14:paraId="1330B934" w14:textId="77777777" w:rsidR="00410BD7" w:rsidRPr="00BB317E" w:rsidRDefault="00410BD7">
      <w:pPr>
        <w:rPr>
          <w:lang w:val="pt-BR"/>
        </w:rPr>
      </w:pPr>
    </w:p>
    <w:p w14:paraId="4F3DAC19" w14:textId="77777777" w:rsidR="00E007F0" w:rsidRPr="00BB317E" w:rsidRDefault="00000000">
      <w:pPr>
        <w:pStyle w:val="Ttulo1"/>
        <w:rPr>
          <w:lang w:val="pt-BR"/>
        </w:rPr>
      </w:pPr>
      <w:r w:rsidRPr="00BB317E">
        <w:rPr>
          <w:lang w:val="pt-BR"/>
        </w:rPr>
        <w:t>5 CONSIDERAÇÕES FINAIS</w:t>
      </w:r>
    </w:p>
    <w:p w14:paraId="0C001B5E" w14:textId="77777777" w:rsidR="00410BD7" w:rsidRDefault="00410BD7">
      <w:pPr>
        <w:rPr>
          <w:lang w:val="pt-BR"/>
        </w:rPr>
      </w:pPr>
    </w:p>
    <w:p w14:paraId="7B26A848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lastRenderedPageBreak/>
        <w:t>O trabalho delineou uma aplicação de RAG e grafos à pesquisa de acórdãos públicos do STM sobre deserção e estado de necessidade exculpante. Sua contribuição é integrar recuperação de trechos e relações jurídicas com proveniência verificável, superando a dificuldade das buscas lexicais e do RAG vetorial isolado para reconstruir conexões entre julgados, teses, normas, súmulas e precedentes.</w:t>
      </w:r>
    </w:p>
    <w:p w14:paraId="1512C8C5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>A segmentação jurídica, a extração híbrida, a expansão pelo grafo e os excertos comprobatórios conferem auditabilidade ao fluxo. Como similaridade textual não equivale a identidade jurídica e divergências dependem dos fatos e fundamentos, a ferramenta limita-se ao apoio à pesquisa, sem automatizar conclusões ou avaliar decisões e seus autores.</w:t>
      </w:r>
    </w:p>
    <w:p w14:paraId="0CACF5BA" w14:textId="77777777" w:rsidR="00E007F0" w:rsidRPr="00BB317E" w:rsidRDefault="00000000">
      <w:pPr>
        <w:rPr>
          <w:lang w:val="pt-BR"/>
        </w:rPr>
      </w:pPr>
      <w:r w:rsidRPr="00BB317E">
        <w:rPr>
          <w:lang w:val="pt-BR"/>
        </w:rPr>
        <w:t>Como próximos passos, propõe-se implementar o piloto de 2021 a 2025, executar testes do autor e comparar pesquisa lexical, RAG vetorial e RAG-grafo. A expansão para outras matérias dependerá d</w:t>
      </w:r>
      <w:r w:rsidR="00B8255E">
        <w:rPr>
          <w:lang w:val="pt-BR"/>
        </w:rPr>
        <w:t>e maior</w:t>
      </w:r>
      <w:r w:rsidRPr="00BB317E">
        <w:rPr>
          <w:lang w:val="pt-BR"/>
        </w:rPr>
        <w:t xml:space="preserve"> segmentação</w:t>
      </w:r>
      <w:r w:rsidR="00B8255E">
        <w:rPr>
          <w:lang w:val="pt-BR"/>
        </w:rPr>
        <w:t xml:space="preserve"> da base de dados</w:t>
      </w:r>
      <w:r w:rsidRPr="00BB317E">
        <w:rPr>
          <w:lang w:val="pt-BR"/>
        </w:rPr>
        <w:t>,</w:t>
      </w:r>
      <w:r w:rsidR="00B8255E">
        <w:rPr>
          <w:lang w:val="pt-BR"/>
        </w:rPr>
        <w:t xml:space="preserve"> visando a normalização para</w:t>
      </w:r>
      <w:r w:rsidRPr="00BB317E">
        <w:rPr>
          <w:lang w:val="pt-BR"/>
        </w:rPr>
        <w:t xml:space="preserve"> proveniência e atualização, fazendo da escalabilidade consequência do controle de qualidade.</w:t>
      </w:r>
    </w:p>
    <w:p w14:paraId="625B90F9" w14:textId="77777777" w:rsidR="00E007F0" w:rsidRDefault="00000000">
      <w:pPr>
        <w:pStyle w:val="Ttulo1"/>
        <w:rPr>
          <w:lang w:val="pt-BR"/>
        </w:rPr>
      </w:pPr>
      <w:r w:rsidRPr="00BB317E">
        <w:rPr>
          <w:lang w:val="pt-BR"/>
        </w:rPr>
        <w:t>REFERÊNCIAS</w:t>
      </w:r>
    </w:p>
    <w:p w14:paraId="6DD58755" w14:textId="77777777" w:rsidR="00B8255E" w:rsidRPr="00B8255E" w:rsidRDefault="00B8255E" w:rsidP="00B8255E">
      <w:pPr>
        <w:rPr>
          <w:lang w:val="pt-BR"/>
        </w:rPr>
      </w:pPr>
    </w:p>
    <w:p w14:paraId="33B5B0C8" w14:textId="77777777" w:rsidR="00E007F0" w:rsidRPr="00BB317E" w:rsidRDefault="00000000" w:rsidP="007E2AFB">
      <w:pPr>
        <w:spacing w:line="240" w:lineRule="auto"/>
        <w:ind w:firstLine="0"/>
        <w:rPr>
          <w:lang w:val="pt-BR"/>
        </w:rPr>
      </w:pPr>
      <w:r w:rsidRPr="007E2AFB">
        <w:rPr>
          <w:sz w:val="18"/>
          <w:lang w:val="pt-BR"/>
        </w:rPr>
        <w:t>BRASIL. Conselho Nacional de Justiça. Resolução n. 615, de 11 de março de 2025. Estabelece diretrizes para o desenvolvimento, utilização e governança de soluções desenvolvidas com recursos de inteligência artificial no Poder Judiciário. Brasília, DF: CNJ, 2025. Disponível em: https://atos.cnj.jus.br/atos/detalhar/6001. Acesso em: 25 ago. 2026.</w:t>
      </w:r>
    </w:p>
    <w:p w14:paraId="5C4BA785" w14:textId="77777777" w:rsidR="00E007F0" w:rsidRPr="00BB317E" w:rsidRDefault="00000000" w:rsidP="007E2AFB">
      <w:pPr>
        <w:spacing w:line="240" w:lineRule="auto"/>
        <w:ind w:firstLine="0"/>
        <w:rPr>
          <w:lang w:val="pt-BR"/>
        </w:rPr>
      </w:pPr>
      <w:r w:rsidRPr="007E2AFB">
        <w:rPr>
          <w:sz w:val="18"/>
          <w:lang w:val="pt-BR"/>
        </w:rPr>
        <w:t>BRASIL. Lei n. 13.709, de 14 de agosto de 2018. Lei Geral de Proteção de Dados Pessoais (LGPD). Brasília, DF: Presidência da República, 2018. Disponível em: https://www.planalto.gov.br/ccivil_03/_ato2015-2018/2018/lei/l13709.htm. Acesso em: 25 ago. 2026.</w:t>
      </w:r>
    </w:p>
    <w:p w14:paraId="5D66825D" w14:textId="77777777" w:rsidR="00E007F0" w:rsidRPr="00BB317E" w:rsidRDefault="00000000" w:rsidP="007E2AFB">
      <w:pPr>
        <w:spacing w:line="240" w:lineRule="auto"/>
        <w:ind w:firstLine="0"/>
        <w:rPr>
          <w:lang w:val="pt-BR"/>
        </w:rPr>
      </w:pPr>
      <w:r w:rsidRPr="007E2AFB">
        <w:rPr>
          <w:sz w:val="18"/>
          <w:lang w:val="pt-BR"/>
        </w:rPr>
        <w:t>BRASIL. Superior Tribunal Militar. Acórdãos e súmulas. Brasília, DF: STM, [s. d.]. Disponível em: https://dspace.stm.jus.br/handle/123456789/200. Acesso em: 25 ago. 2026.</w:t>
      </w:r>
    </w:p>
    <w:p w14:paraId="40A41CF3" w14:textId="77777777" w:rsidR="00E007F0" w:rsidRDefault="00000000" w:rsidP="007E2AFB">
      <w:pPr>
        <w:spacing w:line="240" w:lineRule="auto"/>
        <w:ind w:firstLine="0"/>
      </w:pPr>
      <w:r w:rsidRPr="007E2AFB">
        <w:rPr>
          <w:sz w:val="18"/>
          <w:lang w:val="pt-BR"/>
        </w:rPr>
        <w:t xml:space="preserve">BRASIL. Superior Tribunal Militar. Consulta Judicial Unificada: jurisprudência. Brasília, DF: STM, [s. d.]. Disponível em: https://jurisprudencia.stm.jus.br/. </w:t>
      </w:r>
      <w:r>
        <w:rPr>
          <w:sz w:val="18"/>
        </w:rPr>
        <w:t>Acesso em: 25 ago. 2026.</w:t>
      </w:r>
    </w:p>
    <w:p w14:paraId="72F77715" w14:textId="77777777" w:rsidR="00E007F0" w:rsidRDefault="00000000" w:rsidP="007E2AFB">
      <w:pPr>
        <w:spacing w:line="240" w:lineRule="auto"/>
        <w:ind w:firstLine="0"/>
      </w:pPr>
      <w:r>
        <w:rPr>
          <w:sz w:val="18"/>
        </w:rPr>
        <w:t>EDGE, Darren et al. From local to global: a graph RAG approach to query-focused summarization. arXiv, 2024. DOI: 10.48550/arXiv.2404.16130.</w:t>
      </w:r>
    </w:p>
    <w:p w14:paraId="1AA0548C" w14:textId="77777777" w:rsidR="00E007F0" w:rsidRDefault="00000000" w:rsidP="007E2AFB">
      <w:pPr>
        <w:spacing w:line="240" w:lineRule="auto"/>
        <w:ind w:firstLine="0"/>
      </w:pPr>
      <w:r>
        <w:rPr>
          <w:sz w:val="18"/>
        </w:rPr>
        <w:t>GUTIÉRREZ, Bernal et al. HippoRAG: neurobiologically inspired long-term memory for large language models. In: ADVANCES IN NEURAL INFORMATION PROCESSING SYSTEMS, 37., 2024. Proceedings [...]. [S. l.]: NeurIPS, 2024. p. 59532-59569. DOI: 10.52202/079017-1902.</w:t>
      </w:r>
    </w:p>
    <w:p w14:paraId="13D83257" w14:textId="77777777" w:rsidR="00E007F0" w:rsidRDefault="00000000" w:rsidP="007E2AFB">
      <w:pPr>
        <w:spacing w:line="240" w:lineRule="auto"/>
        <w:ind w:firstLine="0"/>
      </w:pPr>
      <w:r>
        <w:rPr>
          <w:sz w:val="18"/>
        </w:rPr>
        <w:t>LEWIS, Patrick et al. Retrieval-augmented generation for knowledge-intensive NLP tasks. In: ADVANCES IN NEURAL INFORMATION PROCESSING SYSTEMS, 33., 2020. Proceedings [...]. [S. l.]: NeurIPS, 2020. p. 9459-9474.</w:t>
      </w:r>
    </w:p>
    <w:p w14:paraId="680FDEE9" w14:textId="77777777" w:rsidR="007154C5" w:rsidRDefault="00000000" w:rsidP="00B70963">
      <w:pPr>
        <w:spacing w:line="240" w:lineRule="auto"/>
        <w:ind w:firstLine="0"/>
      </w:pPr>
      <w:r>
        <w:rPr>
          <w:sz w:val="18"/>
        </w:rPr>
        <w:t>MANNING, Christopher D.; RAGHAVAN, Prabhakar; SCHÜTZE, Hinrich. Introduction to information retrieval. Cambridge: Cambridge University Press, 2008.</w:t>
      </w:r>
    </w:p>
    <w:p w14:paraId="43E79066" w14:textId="77777777" w:rsidR="007154C5" w:rsidRDefault="00000000" w:rsidP="00B70963">
      <w:pPr>
        <w:spacing w:line="240" w:lineRule="auto"/>
        <w:ind w:firstLine="0"/>
      </w:pPr>
      <w:r>
        <w:rPr>
          <w:sz w:val="18"/>
        </w:rPr>
        <w:t>PAN, Shirui et al. Unifying large language models and knowledge graphs: a roadmap. IEEE Transactions on Knowledge and Data Engineering, v. 36, n. 7, p. 3580-3599, 2024. DOI: 10.1109/TKDE.2024.3352100.</w:t>
      </w:r>
    </w:p>
    <w:p w14:paraId="259B6748" w14:textId="77777777" w:rsidR="007154C5" w:rsidRDefault="00000000" w:rsidP="00B70963">
      <w:pPr>
        <w:spacing w:line="240" w:lineRule="auto"/>
        <w:ind w:firstLine="0"/>
      </w:pPr>
      <w:r>
        <w:rPr>
          <w:sz w:val="18"/>
        </w:rPr>
        <w:t>WANG, Xiaohua et al. Searching for best practices in retrieval-augmented generation. In: PROCEEDINGS OF THE 2024 CONFERENCE ON EMPIRICAL METHODS IN NATURAL LANGUAGE PROCESSING. Miami: Association for Computational Linguistics, 2024. p. 17716-17736. DOI: 10.18653/v1/2024.emnlp-main.981.</w:t>
      </w:r>
    </w:p>
    <w:p w14:paraId="55D600E8" w14:textId="77777777" w:rsidR="007154C5" w:rsidRDefault="00000000" w:rsidP="00B70963">
      <w:pPr>
        <w:spacing w:line="240" w:lineRule="auto"/>
        <w:ind w:firstLine="0"/>
      </w:pPr>
      <w:r>
        <w:rPr>
          <w:sz w:val="18"/>
        </w:rPr>
        <w:t>ZHU, Xiangrong et al. Knowledge graph-guided retrieval augmented generation. In: PROCEEDINGS OF THE 2025 CONFERENCE OF THE NATIONS OF THE AMERICAS CHAPTER OF THE ASSOCIATION FOR COMPUTATIONAL LINGUISTICS: HUMAN LANGUAGE TECHNOLOGIES. Albuquerque: Association for Computational Linguistics, 2025. p. 8912-8924. DOI: 10.18653/v1/2025.naacl-long.449.</w:t>
      </w:r>
    </w:p>
    <w:sectPr w:rsidR="007154C5" w:rsidSect="00034616">
      <w:headerReference w:type="default" r:id="rId8"/>
      <w:footerReference w:type="default" r:id="rId9"/>
      <w:pgSz w:w="12240" w:h="15840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91F1F" w14:textId="77777777" w:rsidR="00C33020" w:rsidRDefault="00C33020">
      <w:pPr>
        <w:spacing w:line="240" w:lineRule="auto"/>
      </w:pPr>
      <w:r>
        <w:separator/>
      </w:r>
    </w:p>
  </w:endnote>
  <w:endnote w:type="continuationSeparator" w:id="0">
    <w:p w14:paraId="19F93AA3" w14:textId="77777777" w:rsidR="00C33020" w:rsidRDefault="00C330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96A6F" w14:textId="77777777" w:rsidR="00E007F0" w:rsidRDefault="00000000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BB31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E74D3" w14:textId="77777777" w:rsidR="00C33020" w:rsidRDefault="00C33020">
      <w:pPr>
        <w:spacing w:line="240" w:lineRule="auto"/>
      </w:pPr>
      <w:r>
        <w:separator/>
      </w:r>
    </w:p>
  </w:footnote>
  <w:footnote w:type="continuationSeparator" w:id="0">
    <w:p w14:paraId="09158E32" w14:textId="77777777" w:rsidR="00C33020" w:rsidRDefault="00C330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E2146" w14:textId="77777777" w:rsidR="00A47B0A" w:rsidRDefault="00A47B0A" w:rsidP="00A47B0A">
    <w:pPr>
      <w:pStyle w:val="Cabealho"/>
      <w:jc w:val="center"/>
      <w:rPr>
        <w:lang w:val="pt-BR"/>
      </w:rPr>
    </w:pPr>
    <w:r w:rsidRPr="00A47B0A">
      <w:rPr>
        <w:noProof/>
        <w:lang w:val="pt-BR"/>
      </w:rPr>
      <w:drawing>
        <wp:inline distT="0" distB="0" distL="0" distR="0" wp14:anchorId="4E618B1E" wp14:editId="5EE6B310">
          <wp:extent cx="981075" cy="702499"/>
          <wp:effectExtent l="0" t="0" r="0" b="2540"/>
          <wp:docPr id="97422569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42256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9165" cy="7082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F438F" w14:textId="77777777" w:rsidR="00A47B0A" w:rsidRPr="00A47B0A" w:rsidRDefault="00A47B0A" w:rsidP="00A47B0A">
    <w:pPr>
      <w:pStyle w:val="Cabealho"/>
      <w:jc w:val="center"/>
      <w:rPr>
        <w:lang w:val="pt-BR"/>
      </w:rPr>
    </w:pPr>
    <w:r w:rsidRPr="00A47B0A">
      <w:rPr>
        <w:lang w:val="pt-BR"/>
      </w:rPr>
      <w:t>AUDITORIA DE DADOS E ACCOUNTABILITY COM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452085">
    <w:abstractNumId w:val="8"/>
  </w:num>
  <w:num w:numId="2" w16cid:durableId="1052466821">
    <w:abstractNumId w:val="6"/>
  </w:num>
  <w:num w:numId="3" w16cid:durableId="94255298">
    <w:abstractNumId w:val="5"/>
  </w:num>
  <w:num w:numId="4" w16cid:durableId="344328124">
    <w:abstractNumId w:val="4"/>
  </w:num>
  <w:num w:numId="5" w16cid:durableId="1887259586">
    <w:abstractNumId w:val="7"/>
  </w:num>
  <w:num w:numId="6" w16cid:durableId="994143541">
    <w:abstractNumId w:val="3"/>
  </w:num>
  <w:num w:numId="7" w16cid:durableId="2063676054">
    <w:abstractNumId w:val="2"/>
  </w:num>
  <w:num w:numId="8" w16cid:durableId="119765247">
    <w:abstractNumId w:val="1"/>
  </w:num>
  <w:num w:numId="9" w16cid:durableId="173665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5A9"/>
    <w:rsid w:val="00034616"/>
    <w:rsid w:val="0006063C"/>
    <w:rsid w:val="0015074B"/>
    <w:rsid w:val="001A2811"/>
    <w:rsid w:val="001F0E6B"/>
    <w:rsid w:val="00226682"/>
    <w:rsid w:val="00245A62"/>
    <w:rsid w:val="0029639D"/>
    <w:rsid w:val="00312DC5"/>
    <w:rsid w:val="00326F90"/>
    <w:rsid w:val="003525D6"/>
    <w:rsid w:val="00410BD7"/>
    <w:rsid w:val="004F1194"/>
    <w:rsid w:val="007154C5"/>
    <w:rsid w:val="007B559C"/>
    <w:rsid w:val="007E2AFB"/>
    <w:rsid w:val="007F293B"/>
    <w:rsid w:val="00880355"/>
    <w:rsid w:val="008A1B8D"/>
    <w:rsid w:val="00A47B0A"/>
    <w:rsid w:val="00AA1D8D"/>
    <w:rsid w:val="00B47730"/>
    <w:rsid w:val="00B70963"/>
    <w:rsid w:val="00B8255E"/>
    <w:rsid w:val="00BB317E"/>
    <w:rsid w:val="00C33020"/>
    <w:rsid w:val="00CB0664"/>
    <w:rsid w:val="00D3250E"/>
    <w:rsid w:val="00D65CE1"/>
    <w:rsid w:val="00DB6694"/>
    <w:rsid w:val="00E007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FF8EA4"/>
  <w14:defaultImageDpi w14:val="300"/>
  <w15:docId w15:val="{9E05D37D-1E28-4246-8827-E9C2311F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0" w:after="2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40" w:after="20" w:line="240" w:lineRule="auto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40" w:after="2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A47B0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7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1832</Words>
  <Characters>11819</Characters>
  <Application>Microsoft Office Word</Application>
  <DocSecurity>0</DocSecurity>
  <Lines>184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Pesquisa jurisprudencial aumentada no Superior Tribunal Militar</vt:lpstr>
      <vt:lpstr/>
    </vt:vector>
  </TitlesOfParts>
  <Manager/>
  <Company/>
  <LinksUpToDate>false</LinksUpToDate>
  <CharactersWithSpaces>13590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jurisprudencial aumentada no Superior Tribunal Militar</dc:title>
  <dc:subject>RAG e grafos aplicados a acórdãos sobre deserção</dc:subject>
  <dc:creator>Alexandre Hugo Santana Sampaio Netto</dc:creator>
  <cp:keywords>STM; RAG; grafos de conhecimento; jurisprudência; deserção</cp:keywords>
  <dc:description>generated by python-docx</dc:description>
  <cp:lastModifiedBy>Alexandre H Sampaio</cp:lastModifiedBy>
  <cp:revision>17</cp:revision>
  <cp:lastPrinted>2026-08-25T22:44:00Z</cp:lastPrinted>
  <dcterms:created xsi:type="dcterms:W3CDTF">2013-12-23T23:15:00Z</dcterms:created>
  <dcterms:modified xsi:type="dcterms:W3CDTF">2026-08-25T22:45:00Z</dcterms:modified>
  <cp:category/>
</cp:coreProperties>
</file>