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PESQUISA JURISPRUDENCIAL AUMENTADA NO SUPERIOR TRIBUNAL MILITAR: </w:t>
      </w:r>
      <w:r>
        <w:t>PROPOSTA DE INTEGRAÇÃO ENTRE RAG E GRAFOS PARA ANÁLISE DE ACÓRDÃOS SOBRE DESERÇÃO</w:t>
      </w:r>
    </w:p>
    <w:p>
      <w:pPr>
        <w:spacing w:line="240" w:lineRule="auto"/>
        <w:ind w:firstLine="0"/>
        <w:jc w:val="center"/>
      </w:pPr>
      <w:r>
        <w:rPr>
          <w:b/>
        </w:rPr>
        <w:t>Alexandre Hugo Santana Sampaio Netto</w:t>
        <w:br/>
      </w:r>
      <w:r>
        <w:t>Matrícula: 1914824 | E-mail: xnetto2@hotmail.com</w:t>
        <w:br/>
      </w:r>
      <w:r>
        <w:t>Superior Tribunal Militar — área judiciária</w:t>
      </w:r>
    </w:p>
    <w:p>
      <w:pPr>
        <w:pStyle w:val="Heading1"/>
      </w:pPr>
      <w:r>
        <w:t>1 CONTEXTUALIZAÇÃO E DESCRIÇÃO DO PROBLEMA</w:t>
      </w:r>
    </w:p>
    <w:p>
      <w:pPr>
        <w:ind w:firstLine="709"/>
        <w:jc w:val="both"/>
      </w:pPr>
      <w:r>
        <w:t>A pesquisa jurisprudencial é atividade recorrente no apoio à prestação jurisdicional. No Superior Tribunal Militar (STM), o acervo público reúne acórdãos e metadados que registram a interpretação do Direito Penal e Processual Penal Militar. Questões complexas, porém, exigem localizar julgados materialmente próximos, reconstruir cadeias de precedentes e distinguir decisões com vocabulário semelhante em contextos fáticos diferentes.</w:t>
      </w:r>
    </w:p>
    <w:p>
      <w:pPr>
        <w:ind w:firstLine="709"/>
        <w:jc w:val="both"/>
      </w:pPr>
      <w:r>
        <w:t>O problema torna-se particularmente sensível nos julgamentos relativos ao crime de deserção e à alegação de estado de necessidade exculpante. A resposta jurídica pode depender da articulação entre fatos provados, requisitos da excludente, dispositivos do Código Penal Militar, súmulas e precedentes. A dispersão dessas relações em documentos extensos amplia o tempo de pesquisa e dificulta a visualização da evolução do entendimento, sobretudo quando a correspondência terminológica não traduz equivalência jurídica.</w:t>
      </w:r>
    </w:p>
    <w:p>
      <w:pPr>
        <w:ind w:firstLine="709"/>
        <w:jc w:val="both"/>
      </w:pPr>
      <w:r>
        <w:t>Propõe-se, por isso, uma arquitetura de pesquisa jurisprudencial que combine geração aumentada por recuperação — Retrieval-Augmented Generation (RAG) — e grafos de conhecimento. A pergunta orientadora é: como essa integração pode aprimorar a pesquisa, a rastreabilidade dos fundamentos e a identificação de relações jurisprudenciais em acórdãos do STM sobre deserção e estado de necessidade exculpante?</w:t>
      </w:r>
    </w:p>
    <w:p>
      <w:pPr>
        <w:ind w:firstLine="709"/>
        <w:jc w:val="both"/>
      </w:pPr>
      <w:r>
        <w:t>O objetivo geral é propor uma arquitetura capaz de recuperar, relacionar e sintetizar o conteúdo dos acórdãos com indicação verificável das fontes. Especificamente, pretende-se estruturar metadados e unidades argumentativas; combinar filtros, busca semântica e expansão por grafo; representar relações jurídicas; gerar respostas acompanhadas dos excertos de origem; e definir critérios de avaliação, governança e supervisão humana.</w:t>
      </w:r>
    </w:p>
    <w:p>
      <w:pPr>
        <w:pStyle w:val="Heading1"/>
      </w:pPr>
      <w:r>
        <w:t>2 FUNDAMENTAÇÃO E TÉCNICAS SELECIONADAS</w:t>
      </w:r>
    </w:p>
    <w:p>
      <w:pPr>
        <w:ind w:firstLine="709"/>
        <w:jc w:val="both"/>
      </w:pPr>
      <w:r>
        <w:t>O RAG associa um modelo generativo a um mecanismo externo de recuperação. A resposta é condicionada por documentos selecionados na consulta, favorecendo atualização, especialização e indicação das evidências utilizadas (LEWIS et al., 2020). No campo jurídico, a busca vetorial isolada pode recuperar trechos próximos sem revelar relações de citação, aplicação normativa, adoção de tese, distinção ou superação.</w:t>
      </w:r>
    </w:p>
    <w:p>
      <w:pPr>
        <w:ind w:firstLine="709"/>
        <w:jc w:val="both"/>
      </w:pPr>
      <w:r>
        <w:t>O grafo de conhecimento complementa essa limitação ao representar entidades e vínculos jurídicos. No modelo proposto, Acórdão, Tema, Tese, Norma, Súmula e Precedente constituem nós; TRATA_DE, APLICA, CITA, ADOTA_TESE, DISTINGUE, DIVERGE_DE e SUPERA constituem relações. A integração permite partir de um fragmento semanticamente relevante e percorrer conexões que uma busca puramente lexical ou vetorial não evidencia. Abordagens GraphRAG demonstram a utilidade de estruturas relacionais para organizar corpus extensos e apoiar respostas que demandem visão global (EDGE et al., 2024).</w:t>
      </w:r>
    </w:p>
    <w:p>
      <w:pPr>
        <w:ind w:firstLine="709"/>
        <w:jc w:val="both"/>
      </w:pPr>
      <w:r>
        <w:t>A proposição central é que a recuperação semântica combinada à navegação por relações jurídicas tende a oferecer maior rastreabilidade e cobertura de precedentes do que a pesquisa lexical ou o RAG vetorial isolado, desde que as respostas permaneçam vinculadas às fontes e à conferência humana. Não se pressupõe aumento de correção decisória.</w:t>
      </w:r>
    </w:p>
    <w:p>
      <w:pPr>
        <w:pStyle w:val="Heading1"/>
      </w:pPr>
      <w:r>
        <w:t>3 METODOLOGIA PROPOSTA E DADOS</w:t>
      </w:r>
    </w:p>
    <w:p>
      <w:pPr>
        <w:ind w:firstLine="709"/>
        <w:jc w:val="both"/>
      </w:pPr>
      <w:r>
        <w:t>O corpus piloto abrangerá acórdãos públicos do STM publicados entre 01.01.2021 e 31.12.2025 e associados à deserção e ao estado de necessidade exculpante. Precedentes anteriores citados nesses documentos poderão ser incorporados para preservar a cadeia jurisprudencial. As fontes previstas são a Consulta Judicial Unificada e o repositório institucional de Acórdãos e Súmulas. Serão coletados apenas documentos oficialmente disponibilizados, com seus metadados de origem, sem reidentificação ou enriquecimento desnecessário de dados pessoais.</w:t>
      </w:r>
    </w:p>
    <w:p>
      <w:pPr>
        <w:ind w:firstLine="709"/>
        <w:jc w:val="both"/>
      </w:pPr>
      <w:r>
        <w:t>A ingestão será realizada em Python, com PyMuPDF ou pdfplumber para extração dos PDFs e pandas para normalização dos metadados. O processo verificará falhas de OCR, páginas ausentes, duplicidades e correspondência com o registro oficial. Extrações insuficientes serão sinalizadas para correção ou exclusão justificada.</w:t>
      </w:r>
    </w:p>
    <w:p>
      <w:pPr>
        <w:pStyle w:val="Heading1"/>
      </w:pPr>
      <w:r>
        <w:t>3.1 Segmentação, indexação e representação do conhecimento</w:t>
      </w:r>
    </w:p>
    <w:p>
      <w:pPr>
        <w:ind w:firstLine="709"/>
        <w:jc w:val="both"/>
      </w:pPr>
      <w:r>
        <w:t>A segmentação será hierárquica e orientada pela estrutura jurídica. Ementa e dispositivo serão preservados integralmente; relatório e voto serão divididos por unidades temáticas. Como os fundamentos nem sempre têm título próprio, serão identificados dentro do voto. Um limite de tokens e pequena sobreposição entre blocos atuarão como proteções técnicas, sem substituir a coerência semântica.</w:t>
      </w:r>
    </w:p>
    <w:p>
      <w:pPr>
        <w:ind w:firstLine="709"/>
        <w:jc w:val="both"/>
      </w:pPr>
      <w:r>
        <w:t>Cada chunk conservará número do processo, classe, assunto, relator, data, seção, página e ligação com o acórdão integral. Essa proveniência evita que fatos do relatório sejam confundidos com fundamentos ou que o dispositivo seja apresentado como argumento. Os embeddings serão armazenados em ChromaDB ou FAISS. Filtros estruturados reduzirão o espaço de busca por período, classe, assunto e dispositivo antes da recuperação vetorial.</w:t>
      </w:r>
    </w:p>
    <w:p>
      <w:pPr>
        <w:ind w:firstLine="709"/>
        <w:jc w:val="both"/>
      </w:pPr>
      <w:r>
        <w:t>A extração do grafo adotará método híbrido. Regras localizarão processos, artigos, súmulas e citações; metadados oficiais fornecerão classes e assuntos; um modelo de linguagem poderá sugerir questões, teses e fundamentos. NetworkX atenderá ao protótipo, e Neo4j à futura escalabilidade. Toda relação inferida armazenará origem, fragmento comprobatório, método, confiança e estado de conferência.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vAlign w:val="center"/>
            <w:tcMar>
              <w:top w:w="50" w:type="dxa"/>
              <w:start w:w="40" w:type="dxa"/>
              <w:bottom w:w="50" w:type="dxa"/>
              <w:end w:w="40" w:type="dxa"/>
            </w:tcMar>
            <w:shd w:fill="D9EAF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/>
                <w:sz w:val="16"/>
              </w:rPr>
              <w:t>Acórdãos</w:t>
              <w:br/>
              <w:t>públicos</w:t>
            </w:r>
          </w:p>
        </w:tc>
        <w:tc>
          <w:tcPr>
            <w:tcW w:type="dxa" w:w="1568"/>
            <w:vAlign w:val="center"/>
            <w:tcMar>
              <w:top w:w="50" w:type="dxa"/>
              <w:start w:w="40" w:type="dxa"/>
              <w:bottom w:w="50" w:type="dxa"/>
              <w:end w:w="40" w:type="dxa"/>
            </w:tcMar>
            <w:shd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/>
                <w:sz w:val="16"/>
              </w:rPr>
              <w:t>Extração e</w:t>
              <w:br/>
              <w:t>segmentação</w:t>
            </w:r>
          </w:p>
        </w:tc>
        <w:tc>
          <w:tcPr>
            <w:tcW w:type="dxa" w:w="1568"/>
            <w:vAlign w:val="center"/>
            <w:tcMar>
              <w:top w:w="50" w:type="dxa"/>
              <w:start w:w="40" w:type="dxa"/>
              <w:bottom w:w="50" w:type="dxa"/>
              <w:end w:w="40" w:type="dxa"/>
            </w:tcMar>
            <w:shd w:fill="D9EAF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/>
                <w:sz w:val="16"/>
              </w:rPr>
              <w:t>Embeddings e</w:t>
              <w:br/>
              <w:t>entidades</w:t>
            </w:r>
          </w:p>
        </w:tc>
        <w:tc>
          <w:tcPr>
            <w:tcW w:type="dxa" w:w="1568"/>
            <w:vAlign w:val="center"/>
            <w:tcMar>
              <w:top w:w="50" w:type="dxa"/>
              <w:start w:w="40" w:type="dxa"/>
              <w:bottom w:w="50" w:type="dxa"/>
              <w:end w:w="40" w:type="dxa"/>
            </w:tcMar>
            <w:shd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/>
                <w:sz w:val="16"/>
              </w:rPr>
              <w:t>Base vetorial</w:t>
              <w:br/>
              <w:t>+ grafo</w:t>
            </w:r>
          </w:p>
        </w:tc>
        <w:tc>
          <w:tcPr>
            <w:tcW w:type="dxa" w:w="1568"/>
            <w:vAlign w:val="center"/>
            <w:tcMar>
              <w:top w:w="50" w:type="dxa"/>
              <w:start w:w="40" w:type="dxa"/>
              <w:bottom w:w="50" w:type="dxa"/>
              <w:end w:w="40" w:type="dxa"/>
            </w:tcMar>
            <w:shd w:fill="D9EAF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/>
                <w:sz w:val="16"/>
              </w:rPr>
              <w:t>Recuperação</w:t>
              <w:br/>
              <w:t>híbrida</w:t>
            </w:r>
          </w:p>
        </w:tc>
        <w:tc>
          <w:tcPr>
            <w:tcW w:type="dxa" w:w="1568"/>
            <w:vAlign w:val="center"/>
            <w:tcMar>
              <w:top w:w="50" w:type="dxa"/>
              <w:start w:w="40" w:type="dxa"/>
              <w:bottom w:w="50" w:type="dxa"/>
              <w:end w:w="40" w:type="dxa"/>
            </w:tcMar>
            <w:shd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/>
                <w:sz w:val="16"/>
              </w:rPr>
              <w:t>Resposta citada</w:t>
              <w:br/>
              <w:t>+ mapa</w:t>
            </w:r>
          </w:p>
        </w:tc>
      </w:tr>
    </w:tbl>
    <w:p>
      <w:pPr>
        <w:ind w:firstLine="0"/>
        <w:jc w:val="center"/>
      </w:pPr>
      <w:r>
        <w:rPr>
          <w:sz w:val="20"/>
        </w:rPr>
        <w:t>Figura 1 — Fluxo conceitual da solução proposta</w:t>
      </w:r>
    </w:p>
    <w:p>
      <w:pPr>
        <w:pStyle w:val="Heading1"/>
      </w:pPr>
      <w:r>
        <w:t>3.2 Recuperação híbrida e geração da resposta</w:t>
      </w:r>
    </w:p>
    <w:p>
      <w:pPr>
        <w:ind w:firstLine="709"/>
        <w:jc w:val="both"/>
      </w:pPr>
      <w:r>
        <w:t>A consulta será processada em seis etapas: aplicação de filtros; recuperação dos chunks semanticamente próximos; expansão para normas, precedentes, súmulas e teses conectadas; reordenação por relevância; geração condicionada às evidências; e apresentação conjunta da resposta, dos excertos, dos documentos e do caminho percorrido no grafo. A ferramenta deverá declarar insuficiência de evidências quando o corpus não sustentar uma conclusão.</w:t>
      </w:r>
    </w:p>
    <w:p>
      <w:pPr>
        <w:ind w:firstLine="709"/>
        <w:jc w:val="both"/>
      </w:pPr>
      <w:r>
        <w:t>Uma possível divergência material será apenas sinalizada, nunca afirmada autonomamente. O sistema exibirá trechos, fundamentos, resultados e distinções identificadas, deixando a qualificação jurídica ao usuário. Também não classificará magistrados, avaliará desempenho decisório nem formará perfis de partes ou profissionais.</w:t>
      </w:r>
    </w:p>
    <w:p>
      <w:pPr>
        <w:pStyle w:val="Heading1"/>
      </w:pPr>
      <w:r>
        <w:t>3.3 Avaliação, segurança e governança</w:t>
      </w:r>
    </w:p>
    <w:p>
      <w:pPr>
        <w:ind w:firstLine="709"/>
        <w:jc w:val="both"/>
      </w:pPr>
      <w:r>
        <w:t>Consultas elaboradas pelo autor servirão a testes preliminares, com conferência manual das respostas e fontes. Serão comparadas pesquisa lexical, RAG vetorial e RAG-grafo. Precision@k e Recall@k avaliarão relevância e cobertura; correção das citações, fidelidade, elementos esperados e tempo complementarão a análise. A inexistência de avaliação independente será explicitada, e nenhuma métrica será apresentada antes de calculada.</w:t>
      </w:r>
    </w:p>
    <w:p>
      <w:pPr>
        <w:ind w:firstLine="709"/>
        <w:jc w:val="both"/>
      </w:pPr>
      <w:r>
        <w:t>Embora o corpus seja público, seu tratamento deve observar finalidade, necessidade, segurança e prestação de contas, em consonância com a Lei Geral de Proteção de Dados Pessoais e com as diretrizes de governança de inteligência artificial do Poder Judiciário. O pipeline respeitará anonimizações e restrições da fonte, evitará atributos pessoais sem utilidade jurídica, manterá registro da proveniência e definirá atualização e retenção. O acesso ao eventual protótipo deverá ser controlado, com logs e procedimento para correção de conteúdo.</w:t>
      </w:r>
    </w:p>
    <w:p>
      <w:pPr>
        <w:ind w:firstLine="709"/>
        <w:jc w:val="both"/>
      </w:pPr>
      <w:r>
        <w:t>A supervisão humana é requisito funcional: a resposta não servirá como decisão automática e inferências sem fonte não serão exibidas como fatos. Para mitigar prompt injection, o conteúdo recuperado será tratado como dado, não como instrução. Controle de acesso e versionamento do corpus e dos parâmetros apoiarão a auditoria.</w:t>
      </w:r>
    </w:p>
    <w:p>
      <w:pPr>
        <w:pStyle w:val="Heading1"/>
      </w:pPr>
      <w:r>
        <w:t>4 RESULTADOS ESPERADOS E IMPACTO</w:t>
      </w:r>
    </w:p>
    <w:p>
      <w:pPr>
        <w:ind w:firstLine="709"/>
        <w:jc w:val="both"/>
      </w:pPr>
      <w:r>
        <w:t>Espera-se produzir uma interface de pesquisa capaz de responder a questões sobre deserção com citações verificáveis, apresentar mapa de precedentes e gerar linha do tempo da evolução jurisprudencial. O principal benefício institucional esperado é reduzir o tempo necessário à pesquisa sem sacrificar a rastreabilidade dos fundamentos. Como efeitos complementares, projetam-se maior cobertura de julgados relacionados, visualização de cadeias de citação e identificação assistida de distinções ou possíveis divergências.</w:t>
      </w:r>
    </w:p>
    <w:p>
      <w:pPr>
        <w:ind w:firstLine="709"/>
        <w:jc w:val="both"/>
      </w:pPr>
      <w:r>
        <w:t>A proposta não substitui a consulta ao inteiro teor nem a interpretação jurídica. Entre as limitações estão erros de OCR; variações documentais; dificuldade de distinguir fundamento determinante de argumento acessório; perda de contexto no chunking; omissões; alucinações; citações incorretas; falsos alertas de divergência; dependência dos metadados; e atualização contínua.</w:t>
      </w:r>
    </w:p>
    <w:p>
      <w:pPr>
        <w:ind w:firstLine="709"/>
        <w:jc w:val="both"/>
      </w:pPr>
      <w:r>
        <w:t>A viabilidade decorre do acervo público, de bibliotecas consolidadas e da implantação incremental: ingestão e busca semântica; extração do grafo; recuperação híbrida e testes comparativos. O fracionamento reduz o risco e permite corrigir falhas antes da ampliação para outras matérias.</w:t>
      </w:r>
    </w:p>
    <w:p>
      <w:pPr>
        <w:pStyle w:val="Heading1"/>
      </w:pPr>
      <w:r>
        <w:t>5 CONSIDERAÇÕES FINAIS</w:t>
      </w:r>
    </w:p>
    <w:p>
      <w:pPr>
        <w:ind w:firstLine="709"/>
        <w:jc w:val="both"/>
      </w:pPr>
      <w:r>
        <w:t>O trabalho delineou uma aplicação de RAG e grafos à pesquisa de acórdãos públicos do STM sobre deserção e estado de necessidade exculpante. Sua contribuição é integrar recuperação de trechos e relações jurídicas com proveniência verificável, superando a dificuldade das buscas lexicais e do RAG vetorial isolado para reconstruir conexões entre julgados, teses, normas, súmulas e precedentes.</w:t>
      </w:r>
    </w:p>
    <w:p>
      <w:pPr>
        <w:ind w:firstLine="709"/>
        <w:jc w:val="both"/>
      </w:pPr>
      <w:r>
        <w:t>A segmentação jurídica, a extração híbrida, a expansão pelo grafo e os excertos comprobatórios conferem auditabilidade ao fluxo. Como similaridade textual não equivale a identidade jurídica e divergências dependem dos fatos e fundamentos, a ferramenta limita-se ao apoio à pesquisa, sem automatizar conclusões ou avaliar decisões e seus autores.</w:t>
      </w:r>
    </w:p>
    <w:p>
      <w:pPr>
        <w:ind w:firstLine="709"/>
        <w:jc w:val="both"/>
      </w:pPr>
      <w:r>
        <w:t>Como próximos passos, propõe-se implementar o piloto de 2021 a 2025, executar testes do autor e comparar pesquisa lexical, RAG vetorial e RAG-grafo. A expansão para outras matérias dependerá da correção dos problemas de extração, segmentação, proveniência e atualização, fazendo da escalabilidade consequência do controle de qualidade.</w:t>
      </w:r>
    </w:p>
    <w:p>
      <w:pPr>
        <w:pStyle w:val="Heading1"/>
      </w:pPr>
      <w:r>
        <w:t>REFERÊNCIAS</w:t>
      </w:r>
    </w:p>
    <w:p>
      <w:pPr>
        <w:spacing w:line="240" w:lineRule="auto" w:after="40"/>
        <w:ind w:firstLine="0"/>
        <w:jc w:val="left"/>
      </w:pPr>
      <w:r>
        <w:rPr>
          <w:sz w:val="18"/>
        </w:rPr>
        <w:t>BRASIL. Conselho Nacional de Justiça. Resolução n. 615, de 11 de março de 2025. Estabelece diretrizes para o desenvolvimento, utilização e governança de soluções desenvolvidas com recursos de inteligência artificial no Poder Judiciário. Brasília, DF: CNJ, 2025. Disponível em: https://atos.cnj.jus.br/atos/detalhar/6001. Acesso em: 25 ago. 2026.</w:t>
      </w:r>
    </w:p>
    <w:p>
      <w:pPr>
        <w:spacing w:line="240" w:lineRule="auto" w:after="40"/>
        <w:ind w:firstLine="0"/>
        <w:jc w:val="left"/>
      </w:pPr>
      <w:r>
        <w:rPr>
          <w:sz w:val="18"/>
        </w:rPr>
        <w:t>BRASIL. Lei n. 13.709, de 14 de agosto de 2018. Lei Geral de Proteção de Dados Pessoais (LGPD). Brasília, DF: Presidência da República, 2018. Disponível em: https://www.planalto.gov.br/ccivil_03/_ato2015-2018/2018/lei/l13709.htm. Acesso em: 25 ago. 2026.</w:t>
      </w:r>
    </w:p>
    <w:p>
      <w:pPr>
        <w:spacing w:line="240" w:lineRule="auto" w:after="40"/>
        <w:ind w:firstLine="0"/>
        <w:jc w:val="left"/>
      </w:pPr>
      <w:r>
        <w:rPr>
          <w:sz w:val="18"/>
        </w:rPr>
        <w:t>BRASIL. Superior Tribunal Militar. Acórdãos e súmulas. Brasília, DF: STM, [s. d.]. Disponível em: https://dspace.stm.jus.br/handle/123456789/200. Acesso em: 25 ago. 2026.</w:t>
      </w:r>
    </w:p>
    <w:p>
      <w:pPr>
        <w:spacing w:line="240" w:lineRule="auto" w:after="40"/>
        <w:ind w:firstLine="0"/>
        <w:jc w:val="left"/>
      </w:pPr>
      <w:r>
        <w:rPr>
          <w:sz w:val="18"/>
        </w:rPr>
        <w:t>BRASIL. Superior Tribunal Militar. Consulta Judicial Unificada: jurisprudência. Brasília, DF: STM, [s. d.]. Disponível em: https://jurisprudencia.stm.jus.br/. Acesso em: 25 ago. 2026.</w:t>
      </w:r>
    </w:p>
    <w:p>
      <w:pPr>
        <w:spacing w:line="240" w:lineRule="auto" w:after="40"/>
        <w:ind w:firstLine="0"/>
        <w:jc w:val="left"/>
      </w:pPr>
      <w:r>
        <w:rPr>
          <w:sz w:val="18"/>
        </w:rPr>
        <w:t>EDGE, Darren et al. From local to global: a graph RAG approach to query-focused summarization. arXiv, 2024. DOI: 10.48550/arXiv.2404.16130.</w:t>
      </w:r>
    </w:p>
    <w:p>
      <w:pPr>
        <w:spacing w:line="240" w:lineRule="auto" w:after="40"/>
        <w:ind w:firstLine="0"/>
        <w:jc w:val="left"/>
      </w:pPr>
      <w:r>
        <w:rPr>
          <w:sz w:val="18"/>
        </w:rPr>
        <w:t>LEWIS, Patrick et al. Retrieval-augmented generation for knowledge-intensive NLP tasks. In: ADVANCES IN NEURAL INFORMATION PROCESSING SYSTEMS, 33., 2020. Proceedings [...]. [S. l.]: NeurIPS, 2020. p. 9459-9474.</w:t>
      </w:r>
    </w:p>
    <w:p>
      <w:pPr>
        <w:spacing w:line="240" w:lineRule="auto" w:after="40"/>
        <w:ind w:firstLine="0"/>
        <w:jc w:val="left"/>
      </w:pPr>
      <w:r>
        <w:rPr>
          <w:sz w:val="18"/>
        </w:rPr>
        <w:t>MANNING, Christopher D.; RAGHAVAN, Prabhakar; SCHÜTZE, Hinrich. Introduction to information retrieval. Cambridge: Cambridge University Press, 2008.</w:t>
      </w:r>
    </w:p>
    <w:sectPr w:rsidR="00FC693F" w:rsidRPr="0006063C" w:rsidSect="00034616">
      <w:footerReference w:type="default" r:id="rId9"/>
      <w:pgSz w:w="12240" w:h="15840"/>
      <w:pgMar w:top="1417" w:right="1417" w:bottom="1417" w:left="1417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/>
      <w:ind w:firstLine="0"/>
      <w:jc w:val="center"/>
    </w:pP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" w:after="20" w:line="240" w:lineRule="auto"/>
      <w:jc w:val="center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0" w:after="20" w:line="240" w:lineRule="auto"/>
      <w:jc w:val="center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" w:line="240" w:lineRule="auto" w:before="40"/>
      <w:contextualSpacing/>
      <w:jc w:val="center"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2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Pesquisa jurisprudencial aumentada no Superior Tribunal Militar</dc:title>
  <dc:subject>RAG e grafos aplicados a acórdãos sobre deserção</dc:subject>
  <dc:creator>Alexandre Hugo Santana Sampaio Netto</dc:creator>
  <cp:keywords>STM; RAG; grafos de conhecimento; jurisprudência; deserção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