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Of 1,315 features extracted, 484 (36.8%) had an inter-reader intraclass correlation coefficient (ICC) above 0.75 and were retained, with ICCs ranging from 0.760 to 0.914 (median 0.849). The maximum-relevance minimum-redundancy (mRMR) algorithm reduced these to 35, which entered the least absolute shrinkage and selection operator (LASSO) step.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The calibration curve corresponds to observed proportions of 0.253, 0.382 and 0.561 at estimated probabilities of 0.4, 0.6 and 0.8, an absolute overestimation of 0.15 to 0.24 across that range.</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0.01 to 0.73, with net benefit falling below zero only beyond that point. In the internal validation cohort the advantage held from 0.06 to 0.60, after which net benefit hovered around zero;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[Both panels need redrawing from the adopted fit, with a single BAA row replacing the separate BAPF and BAM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2.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3.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4. The redrawn nomogram's second axis is still labelled BAPF and needs relabelling to BAA.</w:t>
      </w:r>
    </w:p>
    <w:p>
      <w:pPr>
        <w:spacing w:after="120"/>
        <w:ind w:firstLine="0"/>
      </w:pPr>
      <w:r>
        <w:t>5. The Rad-score univariable p-value is printed as 0.000 and should be written as &lt;0.001.</w:t>
      </w:r>
    </w:p>
    <w:p>
      <w:pPr>
        <w:spacing w:after="120"/>
        <w:ind w:firstLine="0"/>
      </w:pPr>
      <w:r>
        <w:t>6. Nomogram point allocations in the text were read from the figure and should be checked against the nomogram() output.</w:t>
      </w:r>
    </w:p>
    <w:p>
      <w:pPr>
        <w:spacing w:after="120"/>
        <w:ind w:firstLine="0"/>
      </w:pPr>
      <w:r>
        <w:t>7. Methods should record the ICC form used for inter-reader reproducibility: a two-way random-effects model for absolute agreement with single measurements, ICC(2,1). A ready-to-paste sentence is in the working markdown file.</w:t>
      </w:r>
    </w:p>
    <w:p>
      <w:pPr>
        <w:spacing w:after="120"/>
        <w:ind w:firstLine="0"/>
      </w:pPr>
      <w:r>
        <w:t>8. Model letter reversal. ModA and ModC have swapped meanings between the old and new artwork. The Results text names models descriptively; the Discussion must be checked.</w:t>
      </w:r>
    </w:p>
    <w:p>
      <w:pPr>
        <w:spacing w:after="120"/>
        <w:ind w:firstLine="0"/>
      </w:pPr>
      <w:r>
        <w:t>9. Artwork: delete the 0.447 annotation from the validation ROC panel, and remove the stray zero from the training boxplot x-axis label.</w:t>
      </w:r>
    </w:p>
    <w:p>
      <w:pPr>
        <w:spacing w:after="120"/>
        <w:ind w:firstLine="0"/>
      </w:pPr>
      <w:r>
        <w:t>10. RESOLVED. The cascade is 1,315 extracted, 484 (36.8%) retained at ICC above 0.75, 35 after mRMR and 6 after LASSO, with retained-feature ICCs of 0.760 to 0.914 (median 0.849). The 35 matches the figure-axis reading, so the cascade is self-consistent. The ICC form is a two-way random-effects model for absolute agreement using single measurements, ICC(2,1); a ready-to-paste Methods sentence is in the working file. All Results data are now settled.</w:t>
      </w:r>
    </w:p>
    <w:p>
      <w:pPr>
        <w:spacing w:after="120"/>
        <w:ind w:firstLine="0"/>
      </w:pPr>
      <w:r>
        <w:t>11. Bootstrap internal validation with optimism correction would address the events-per-variable ratio of roughly 7.5, and is more pertinent now that a variable definition was changed during model development.</w:t>
      </w:r>
    </w:p>
    <w:p>
      <w:pPr>
        <w:spacing w:after="120"/>
        <w:ind w:firstLine="0"/>
      </w:pPr>
      <w:r>
        <w:t>12.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