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defined as bronchial artery–pulmonary fistula (BAPF) and/or bronchial artery malformation (BAM),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BAPF and BAM were combined into a single bronchial artery abnormality (BAA) variable before analysis. Both lesions are abnormalities of the bronchial arterial circulation; considered separately their univariable odds ratios were closely similar (4.88 and 3.84) with widely overlapping confidence intervals; and each was individually uncommon (27 and 18 patients), with seven patients carrying both, so that 38 patients contribute to the combined term against 27 and 18 for its components.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spacing w:line="480" w:lineRule="auto"/>
        <w:ind w:firstLine="720"/>
      </w:pPr>
      <w:r>
        <w:rPr>
          <w:i/>
        </w:rPr>
        <w:t>[The Methods must state when the decision to combine BAPF and BAM was taken. The merge raised the combined-model AUC from 0.840 to 0.850, so a reviewer will ask whether it preceded or followed inspection of the outcome data. The three grounds given above support the merge but do not answer that question.]</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spanning the full 0 to 100 point range across its observed interval of −4 to 0.5. Fibrinogen contributes up to approximately 55 points on a descending scale, so that lower values attract more points. Tuberculosis and BAA contribute approximately 23 and 21 points respectively when present. Total scores range from 0 to 180, and the estimated-probability scale becomes informative above a total of roughly 90 points.</w:t>
      </w:r>
    </w:p>
    <w:p>
      <w:pPr>
        <w:spacing w:line="480" w:lineRule="auto"/>
        <w:ind w:firstLine="720"/>
      </w:pPr>
      <w:r>
        <w:rPr>
          <w:i/>
        </w:rPr>
        <w:t>[The point allocations above were read from the figure and should be checked against the nomogram() output. The second axis of the redrawn nomogram is still labelled BAPF and needs relabelling to BAA to match Table 1, Table 2 and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At an estimated probability of 0.6 the observed proportion was approximately 0.42, and at 0.8 approximately 0.55.</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rPr>
        <w:t>[The two decision-curve panels are transposed relative to their captions and need swapping. Net benefit at a threshold of zero equals the prevalence, and the treat-all line crosses zero at the prevalence; the panel captioned training starts at 0.209, matching the validation prevalence of 12/57, and the panel captioned validation starts at 0.228, matching the training prevalence of 30/131. The text below already uses the corrected assignment.]</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approximately 0.05 to 0.72, with net benefit falling below zero only beyond that point. In the internal validation cohort the advantage held from approximately 0.05 to 0.60, after which net benefit oscillated around zero and became negative beyond about 0.75;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(BAPF and/or BAM). [Both panels need redrawing from the adopted fit, with BAPF and BAM shown as the single BAA row rather than as two separate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 [The two panels are currently transposed and need swapping; see the note in the text.]</w:t>
      </w:r>
    </w:p>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Two decision-curve panels are transposed and need swapping. Net benefit at a threshold of zero equals the prevalence: the panel captioned training starts at 0.209, matching validation (12/57 = 0.2105), and the panel captioned validation starts at 0.228, matching training (30/131 = 0.2290). This is the second panel transposition in this series, after the Rad-score boxplots. Writing the cohort name into the plotting call would prevent a third.</w:t>
      </w:r>
    </w:p>
    <w:p>
      <w:pPr>
        <w:spacing w:after="120"/>
        <w:ind w:firstLine="0"/>
      </w:pPr>
      <w:r>
        <w:t>2.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3.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4.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5. The redrawn nomogram's second axis is still labelled BAPF and needs relabelling to BAA.</w:t>
      </w:r>
    </w:p>
    <w:p>
      <w:pPr>
        <w:spacing w:after="120"/>
        <w:ind w:firstLine="0"/>
      </w:pPr>
      <w:r>
        <w:t>6. The Rad-score univariable p-value is printed as 0.000 and should be written as &lt;0.001.</w:t>
      </w:r>
    </w:p>
    <w:p>
      <w:pPr>
        <w:spacing w:after="120"/>
        <w:ind w:firstLine="0"/>
      </w:pPr>
      <w:r>
        <w:t>7. Nomogram point allocations in the text were read from the figure and should be checked against the nomogram() output.</w:t>
      </w:r>
    </w:p>
    <w:p>
      <w:pPr>
        <w:spacing w:after="120"/>
        <w:ind w:firstLine="0"/>
      </w:pPr>
      <w:r>
        <w:t>8. Methods must state when the decision to combine BAPF and BAM was taken, since the merge raised the combined-model AUC from 0.840 to 0.850.</w:t>
      </w:r>
    </w:p>
    <w:p>
      <w:pPr>
        <w:spacing w:after="120"/>
        <w:ind w:firstLine="0"/>
      </w:pPr>
      <w:r>
        <w:t>9. Model letter reversal. ModA and ModC have swapped meanings between the old and new artwork. The Results text names models descriptively; the Discussion must be checked.</w:t>
      </w:r>
    </w:p>
    <w:p>
      <w:pPr>
        <w:spacing w:after="120"/>
        <w:ind w:firstLine="0"/>
      </w:pPr>
      <w:r>
        <w:t>10. Artwork: delete the 0.447 annotation from the validation ROC panel, and remove the stray zero from the training boxplot x-axis label.</w:t>
      </w:r>
    </w:p>
    <w:p>
      <w:pPr>
        <w:spacing w:after="120"/>
        <w:ind w:firstLine="0"/>
      </w:pPr>
      <w:r>
        <w:t>11. Feature-count cascade and the observed ICC range are still needed; the text says approximately 35 features entered the LASSO step, read from the figure axis.</w:t>
      </w:r>
    </w:p>
    <w:p>
      <w:pPr>
        <w:spacing w:after="120"/>
        <w:ind w:firstLine="0"/>
      </w:pPr>
      <w:r>
        <w:t>12. Bootstrap internal validation with optimism correction would address the events-per-variable ratio of roughly 7.5, and is more pertinent now that a variable definition was changed during model development.</w:t>
      </w:r>
    </w:p>
    <w:p>
      <w:pPr>
        <w:spacing w:after="120"/>
        <w:ind w:firstLine="0"/>
      </w:pPr>
      <w:r>
        <w:t>13.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