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b/>
        </w:rPr>
        <w:t>Table</w:t>
      </w:r>
      <w:r>
        <w:t xml:space="preserve"> 1. Baseline characteristics of the training and internal validation cohorts.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948"/>
          </w:tcPr>
          <w:p>
            <w:pPr>
              <w:jc w:val="left"/>
            </w:pPr>
            <w:r/>
            <w:r>
              <w:rPr>
                <w:b/>
                <w:sz w:val="20"/>
              </w:rPr>
              <w:t>Variable</w:t>
            </w:r>
          </w:p>
        </w:tc>
        <w:tc>
          <w:tcPr>
            <w:tcW w:type="dxa" w:w="1871"/>
          </w:tcPr>
          <w:p>
            <w:pPr>
              <w:jc w:val="center"/>
            </w:pPr>
            <w:r/>
            <w:r>
              <w:rPr>
                <w:b/>
                <w:sz w:val="20"/>
              </w:rPr>
              <w:t>All (N=188)</w:t>
            </w:r>
          </w:p>
        </w:tc>
        <w:tc>
          <w:tcPr>
            <w:tcW w:type="dxa" w:w="1871"/>
          </w:tcPr>
          <w:p>
            <w:pPr>
              <w:jc w:val="center"/>
            </w:pPr>
            <w:r/>
            <w:r>
              <w:rPr>
                <w:b/>
                <w:sz w:val="20"/>
              </w:rPr>
              <w:t>Training (N=131)</w:t>
            </w:r>
          </w:p>
        </w:tc>
        <w:tc>
          <w:tcPr>
            <w:tcW w:type="dxa" w:w="1871"/>
          </w:tcPr>
          <w:p>
            <w:pPr>
              <w:jc w:val="center"/>
            </w:pPr>
            <w:r/>
            <w:r>
              <w:rPr>
                <w:b/>
                <w:sz w:val="20"/>
              </w:rPr>
              <w:t>Validation (N=57)</w:t>
            </w:r>
          </w:p>
        </w:tc>
        <w:tc>
          <w:tcPr>
            <w:tcW w:type="dxa" w:w="907"/>
          </w:tcPr>
          <w:p>
            <w:pPr>
              <w:jc w:val="center"/>
            </w:pPr>
            <w:r/>
            <w:r>
              <w:rPr>
                <w:b/>
                <w:sz w:val="20"/>
              </w:rPr>
              <w:t>P</w:t>
            </w:r>
          </w:p>
        </w:tc>
      </w:tr>
      <w:tr>
        <w:tc>
          <w:tcPr>
            <w:tcW w:type="dxa" w:w="2948"/>
          </w:tcPr>
          <w:p>
            <w:pPr>
              <w:jc w:val="left"/>
            </w:pPr>
            <w:r/>
            <w:r>
              <w:rPr>
                <w:sz w:val="20"/>
              </w:rPr>
              <w:t>Massive haemoptysis</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0.929</w:t>
            </w:r>
          </w:p>
        </w:tc>
      </w:tr>
      <w:tr>
        <w:tc>
          <w:tcPr>
            <w:tcW w:type="dxa" w:w="2948"/>
          </w:tcPr>
          <w:p>
            <w:pPr>
              <w:jc w:val="left"/>
            </w:pPr>
            <w:r/>
            <w:r>
              <w:rPr>
                <w:sz w:val="20"/>
              </w:rPr>
              <w:t xml:space="preserve">    no</w:t>
            </w:r>
          </w:p>
        </w:tc>
        <w:tc>
          <w:tcPr>
            <w:tcW w:type="dxa" w:w="1871"/>
          </w:tcPr>
          <w:p>
            <w:pPr>
              <w:jc w:val="center"/>
            </w:pPr>
            <w:r/>
            <w:r>
              <w:rPr>
                <w:sz w:val="20"/>
              </w:rPr>
              <w:t>146 (77.66)</w:t>
            </w:r>
          </w:p>
        </w:tc>
        <w:tc>
          <w:tcPr>
            <w:tcW w:type="dxa" w:w="1871"/>
          </w:tcPr>
          <w:p>
            <w:pPr>
              <w:jc w:val="center"/>
            </w:pPr>
            <w:r/>
            <w:r>
              <w:rPr>
                <w:sz w:val="20"/>
              </w:rPr>
              <w:t>101 (77.10)</w:t>
            </w:r>
          </w:p>
        </w:tc>
        <w:tc>
          <w:tcPr>
            <w:tcW w:type="dxa" w:w="1871"/>
          </w:tcPr>
          <w:p>
            <w:pPr>
              <w:jc w:val="center"/>
            </w:pPr>
            <w:r/>
            <w:r>
              <w:rPr>
                <w:sz w:val="20"/>
              </w:rPr>
              <w:t>45 (78.95)</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42 (22.34)</w:t>
            </w:r>
          </w:p>
        </w:tc>
        <w:tc>
          <w:tcPr>
            <w:tcW w:type="dxa" w:w="1871"/>
          </w:tcPr>
          <w:p>
            <w:pPr>
              <w:jc w:val="center"/>
            </w:pPr>
            <w:r/>
            <w:r>
              <w:rPr>
                <w:sz w:val="20"/>
              </w:rPr>
              <w:t>30 (22.90)</w:t>
            </w:r>
          </w:p>
        </w:tc>
        <w:tc>
          <w:tcPr>
            <w:tcW w:type="dxa" w:w="1871"/>
          </w:tcPr>
          <w:p>
            <w:pPr>
              <w:jc w:val="center"/>
            </w:pPr>
            <w:r/>
            <w:r>
              <w:rPr>
                <w:sz w:val="20"/>
              </w:rPr>
              <w:t>12 (21.05)</w:t>
            </w:r>
          </w:p>
        </w:tc>
        <w:tc>
          <w:tcPr>
            <w:tcW w:type="dxa" w:w="907"/>
          </w:tcPr>
          <w:p>
            <w:pPr>
              <w:jc w:val="center"/>
            </w:pPr>
            <w:r/>
            <w:r>
              <w:rPr>
                <w:sz w:val="20"/>
              </w:rPr>
            </w:r>
          </w:p>
        </w:tc>
      </w:tr>
      <w:tr>
        <w:tc>
          <w:tcPr>
            <w:tcW w:type="dxa" w:w="2948"/>
          </w:tcPr>
          <w:p>
            <w:pPr>
              <w:jc w:val="left"/>
            </w:pPr>
            <w:r/>
            <w:r>
              <w:rPr>
                <w:sz w:val="20"/>
              </w:rPr>
              <w:t>Age (years)</w:t>
            </w:r>
          </w:p>
        </w:tc>
        <w:tc>
          <w:tcPr>
            <w:tcW w:type="dxa" w:w="1871"/>
          </w:tcPr>
          <w:p>
            <w:pPr>
              <w:jc w:val="center"/>
            </w:pPr>
            <w:r/>
            <w:r>
              <w:rPr>
                <w:sz w:val="20"/>
              </w:rPr>
              <w:t>61.0 [54.0, 70.0]</w:t>
            </w:r>
          </w:p>
        </w:tc>
        <w:tc>
          <w:tcPr>
            <w:tcW w:type="dxa" w:w="1871"/>
          </w:tcPr>
          <w:p>
            <w:pPr>
              <w:jc w:val="center"/>
            </w:pPr>
            <w:r/>
            <w:r>
              <w:rPr>
                <w:sz w:val="20"/>
              </w:rPr>
              <w:t>60.0 [53.0, 69.5]</w:t>
            </w:r>
          </w:p>
        </w:tc>
        <w:tc>
          <w:tcPr>
            <w:tcW w:type="dxa" w:w="1871"/>
          </w:tcPr>
          <w:p>
            <w:pPr>
              <w:jc w:val="center"/>
            </w:pPr>
            <w:r/>
            <w:r>
              <w:rPr>
                <w:sz w:val="20"/>
              </w:rPr>
              <w:t>65.0 [55.0, 70.0]</w:t>
            </w:r>
          </w:p>
        </w:tc>
        <w:tc>
          <w:tcPr>
            <w:tcW w:type="dxa" w:w="907"/>
          </w:tcPr>
          <w:p>
            <w:pPr>
              <w:jc w:val="center"/>
            </w:pPr>
            <w:r/>
            <w:r>
              <w:rPr>
                <w:sz w:val="20"/>
              </w:rPr>
              <w:t>0.222</w:t>
            </w:r>
          </w:p>
        </w:tc>
      </w:tr>
      <w:tr>
        <w:tc>
          <w:tcPr>
            <w:tcW w:type="dxa" w:w="2948"/>
          </w:tcPr>
          <w:p>
            <w:pPr>
              <w:jc w:val="left"/>
            </w:pPr>
            <w:r/>
            <w:r>
              <w:rPr>
                <w:sz w:val="20"/>
              </w:rPr>
              <w:t>Sex</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0.709</w:t>
            </w:r>
          </w:p>
        </w:tc>
      </w:tr>
      <w:tr>
        <w:tc>
          <w:tcPr>
            <w:tcW w:type="dxa" w:w="2948"/>
          </w:tcPr>
          <w:p>
            <w:pPr>
              <w:jc w:val="left"/>
            </w:pPr>
            <w:r/>
            <w:r>
              <w:rPr>
                <w:sz w:val="20"/>
              </w:rPr>
              <w:t xml:space="preserve">    female</w:t>
            </w:r>
          </w:p>
        </w:tc>
        <w:tc>
          <w:tcPr>
            <w:tcW w:type="dxa" w:w="1871"/>
          </w:tcPr>
          <w:p>
            <w:pPr>
              <w:jc w:val="center"/>
            </w:pPr>
            <w:r/>
            <w:r>
              <w:rPr>
                <w:sz w:val="20"/>
              </w:rPr>
              <w:t>58 (30.85)</w:t>
            </w:r>
          </w:p>
        </w:tc>
        <w:tc>
          <w:tcPr>
            <w:tcW w:type="dxa" w:w="1871"/>
          </w:tcPr>
          <w:p>
            <w:pPr>
              <w:jc w:val="center"/>
            </w:pPr>
            <w:r/>
            <w:r>
              <w:rPr>
                <w:sz w:val="20"/>
              </w:rPr>
              <w:t>42 (32.06)</w:t>
            </w:r>
          </w:p>
        </w:tc>
        <w:tc>
          <w:tcPr>
            <w:tcW w:type="dxa" w:w="1871"/>
          </w:tcPr>
          <w:p>
            <w:pPr>
              <w:jc w:val="center"/>
            </w:pPr>
            <w:r/>
            <w:r>
              <w:rPr>
                <w:sz w:val="20"/>
              </w:rPr>
              <w:t>16 (28.07)</w:t>
            </w:r>
          </w:p>
        </w:tc>
        <w:tc>
          <w:tcPr>
            <w:tcW w:type="dxa" w:w="907"/>
          </w:tcPr>
          <w:p>
            <w:pPr>
              <w:jc w:val="center"/>
            </w:pPr>
            <w:r/>
            <w:r>
              <w:rPr>
                <w:sz w:val="20"/>
              </w:rPr>
            </w:r>
          </w:p>
        </w:tc>
      </w:tr>
      <w:tr>
        <w:tc>
          <w:tcPr>
            <w:tcW w:type="dxa" w:w="2948"/>
          </w:tcPr>
          <w:p>
            <w:pPr>
              <w:jc w:val="left"/>
            </w:pPr>
            <w:r/>
            <w:r>
              <w:rPr>
                <w:sz w:val="20"/>
              </w:rPr>
              <w:t xml:space="preserve">    male</w:t>
            </w:r>
          </w:p>
        </w:tc>
        <w:tc>
          <w:tcPr>
            <w:tcW w:type="dxa" w:w="1871"/>
          </w:tcPr>
          <w:p>
            <w:pPr>
              <w:jc w:val="center"/>
            </w:pPr>
            <w:r/>
            <w:r>
              <w:rPr>
                <w:sz w:val="20"/>
              </w:rPr>
              <w:t>130 (69.15)</w:t>
            </w:r>
          </w:p>
        </w:tc>
        <w:tc>
          <w:tcPr>
            <w:tcW w:type="dxa" w:w="1871"/>
          </w:tcPr>
          <w:p>
            <w:pPr>
              <w:jc w:val="center"/>
            </w:pPr>
            <w:r/>
            <w:r>
              <w:rPr>
                <w:sz w:val="20"/>
              </w:rPr>
              <w:t>89 (67.94)</w:t>
            </w:r>
          </w:p>
        </w:tc>
        <w:tc>
          <w:tcPr>
            <w:tcW w:type="dxa" w:w="1871"/>
          </w:tcPr>
          <w:p>
            <w:pPr>
              <w:jc w:val="center"/>
            </w:pPr>
            <w:r/>
            <w:r>
              <w:rPr>
                <w:sz w:val="20"/>
              </w:rPr>
              <w:t>41 (71.93)</w:t>
            </w:r>
          </w:p>
        </w:tc>
        <w:tc>
          <w:tcPr>
            <w:tcW w:type="dxa" w:w="907"/>
          </w:tcPr>
          <w:p>
            <w:pPr>
              <w:jc w:val="center"/>
            </w:pPr>
            <w:r/>
            <w:r>
              <w:rPr>
                <w:sz w:val="20"/>
              </w:rPr>
            </w:r>
          </w:p>
        </w:tc>
      </w:tr>
      <w:tr>
        <w:tc>
          <w:tcPr>
            <w:tcW w:type="dxa" w:w="2948"/>
          </w:tcPr>
          <w:p>
            <w:pPr>
              <w:jc w:val="left"/>
            </w:pPr>
            <w:r/>
            <w:r>
              <w:rPr>
                <w:sz w:val="20"/>
              </w:rPr>
              <w:t>Smoking status</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0.688</w:t>
            </w:r>
          </w:p>
        </w:tc>
      </w:tr>
      <w:tr>
        <w:tc>
          <w:tcPr>
            <w:tcW w:type="dxa" w:w="2948"/>
          </w:tcPr>
          <w:p>
            <w:pPr>
              <w:jc w:val="left"/>
            </w:pPr>
            <w:r/>
            <w:r>
              <w:rPr>
                <w:sz w:val="20"/>
              </w:rPr>
              <w:t xml:space="preserve">    no</w:t>
            </w:r>
          </w:p>
        </w:tc>
        <w:tc>
          <w:tcPr>
            <w:tcW w:type="dxa" w:w="1871"/>
          </w:tcPr>
          <w:p>
            <w:pPr>
              <w:jc w:val="center"/>
            </w:pPr>
            <w:r/>
            <w:r>
              <w:rPr>
                <w:sz w:val="20"/>
              </w:rPr>
              <w:t>75 (39.89)</w:t>
            </w:r>
          </w:p>
        </w:tc>
        <w:tc>
          <w:tcPr>
            <w:tcW w:type="dxa" w:w="1871"/>
          </w:tcPr>
          <w:p>
            <w:pPr>
              <w:jc w:val="center"/>
            </w:pPr>
            <w:r/>
            <w:r>
              <w:rPr>
                <w:sz w:val="20"/>
              </w:rPr>
              <w:t>54 (41.22)</w:t>
            </w:r>
          </w:p>
        </w:tc>
        <w:tc>
          <w:tcPr>
            <w:tcW w:type="dxa" w:w="1871"/>
          </w:tcPr>
          <w:p>
            <w:pPr>
              <w:jc w:val="center"/>
            </w:pPr>
            <w:r/>
            <w:r>
              <w:rPr>
                <w:sz w:val="20"/>
              </w:rPr>
              <w:t>21 (36.84)</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113 (60.11)</w:t>
            </w:r>
          </w:p>
        </w:tc>
        <w:tc>
          <w:tcPr>
            <w:tcW w:type="dxa" w:w="1871"/>
          </w:tcPr>
          <w:p>
            <w:pPr>
              <w:jc w:val="center"/>
            </w:pPr>
            <w:r/>
            <w:r>
              <w:rPr>
                <w:sz w:val="20"/>
              </w:rPr>
              <w:t>77 (58.78)</w:t>
            </w:r>
          </w:p>
        </w:tc>
        <w:tc>
          <w:tcPr>
            <w:tcW w:type="dxa" w:w="1871"/>
          </w:tcPr>
          <w:p>
            <w:pPr>
              <w:jc w:val="center"/>
            </w:pPr>
            <w:r/>
            <w:r>
              <w:rPr>
                <w:sz w:val="20"/>
              </w:rPr>
              <w:t>36 (63.16)</w:t>
            </w:r>
          </w:p>
        </w:tc>
        <w:tc>
          <w:tcPr>
            <w:tcW w:type="dxa" w:w="907"/>
          </w:tcPr>
          <w:p>
            <w:pPr>
              <w:jc w:val="center"/>
            </w:pPr>
            <w:r/>
            <w:r>
              <w:rPr>
                <w:sz w:val="20"/>
              </w:rPr>
            </w:r>
          </w:p>
        </w:tc>
      </w:tr>
      <w:tr>
        <w:tc>
          <w:tcPr>
            <w:tcW w:type="dxa" w:w="2948"/>
          </w:tcPr>
          <w:p>
            <w:pPr>
              <w:jc w:val="left"/>
            </w:pPr>
            <w:r/>
            <w:r>
              <w:rPr>
                <w:sz w:val="20"/>
              </w:rPr>
              <w:t>Duration of smoking (years)</w:t>
            </w:r>
          </w:p>
        </w:tc>
        <w:tc>
          <w:tcPr>
            <w:tcW w:type="dxa" w:w="1871"/>
          </w:tcPr>
          <w:p>
            <w:pPr>
              <w:jc w:val="center"/>
            </w:pPr>
            <w:r/>
            <w:r>
              <w:rPr>
                <w:sz w:val="20"/>
              </w:rPr>
              <w:t>15.5 [0.0, 40.0]</w:t>
            </w:r>
          </w:p>
        </w:tc>
        <w:tc>
          <w:tcPr>
            <w:tcW w:type="dxa" w:w="1871"/>
          </w:tcPr>
          <w:p>
            <w:pPr>
              <w:jc w:val="center"/>
            </w:pPr>
            <w:r/>
            <w:r>
              <w:rPr>
                <w:sz w:val="20"/>
              </w:rPr>
              <w:t>20.0 [0.0, 40.0]</w:t>
            </w:r>
          </w:p>
        </w:tc>
        <w:tc>
          <w:tcPr>
            <w:tcW w:type="dxa" w:w="1871"/>
          </w:tcPr>
          <w:p>
            <w:pPr>
              <w:jc w:val="center"/>
            </w:pPr>
            <w:r/>
            <w:r>
              <w:rPr>
                <w:sz w:val="20"/>
              </w:rPr>
              <w:t>15.0 [0.0, 40.0]</w:t>
            </w:r>
          </w:p>
        </w:tc>
        <w:tc>
          <w:tcPr>
            <w:tcW w:type="dxa" w:w="907"/>
          </w:tcPr>
          <w:p>
            <w:pPr>
              <w:jc w:val="center"/>
            </w:pPr>
            <w:r/>
            <w:r>
              <w:rPr>
                <w:sz w:val="20"/>
              </w:rPr>
              <w:t>0.786</w:t>
            </w:r>
          </w:p>
        </w:tc>
      </w:tr>
      <w:tr>
        <w:tc>
          <w:tcPr>
            <w:tcW w:type="dxa" w:w="2948"/>
          </w:tcPr>
          <w:p>
            <w:pPr>
              <w:jc w:val="left"/>
            </w:pPr>
            <w:r/>
            <w:r>
              <w:rPr>
                <w:sz w:val="20"/>
              </w:rPr>
              <w:t>Cancer</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0.185</w:t>
            </w:r>
          </w:p>
        </w:tc>
      </w:tr>
      <w:tr>
        <w:tc>
          <w:tcPr>
            <w:tcW w:type="dxa" w:w="2948"/>
          </w:tcPr>
          <w:p>
            <w:pPr>
              <w:jc w:val="left"/>
            </w:pPr>
            <w:r/>
            <w:r>
              <w:rPr>
                <w:sz w:val="20"/>
              </w:rPr>
              <w:t xml:space="preserve">    no</w:t>
            </w:r>
          </w:p>
        </w:tc>
        <w:tc>
          <w:tcPr>
            <w:tcW w:type="dxa" w:w="1871"/>
          </w:tcPr>
          <w:p>
            <w:pPr>
              <w:jc w:val="center"/>
            </w:pPr>
            <w:r/>
            <w:r>
              <w:rPr>
                <w:sz w:val="20"/>
              </w:rPr>
              <w:t>157 (83.51)</w:t>
            </w:r>
          </w:p>
        </w:tc>
        <w:tc>
          <w:tcPr>
            <w:tcW w:type="dxa" w:w="1871"/>
          </w:tcPr>
          <w:p>
            <w:pPr>
              <w:jc w:val="center"/>
            </w:pPr>
            <w:r/>
            <w:r>
              <w:rPr>
                <w:sz w:val="20"/>
              </w:rPr>
              <w:t>113 (86.26)</w:t>
            </w:r>
          </w:p>
        </w:tc>
        <w:tc>
          <w:tcPr>
            <w:tcW w:type="dxa" w:w="1871"/>
          </w:tcPr>
          <w:p>
            <w:pPr>
              <w:jc w:val="center"/>
            </w:pPr>
            <w:r/>
            <w:r>
              <w:rPr>
                <w:sz w:val="20"/>
              </w:rPr>
              <w:t>44 (77.19)</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31 (16.49)</w:t>
            </w:r>
          </w:p>
        </w:tc>
        <w:tc>
          <w:tcPr>
            <w:tcW w:type="dxa" w:w="1871"/>
          </w:tcPr>
          <w:p>
            <w:pPr>
              <w:jc w:val="center"/>
            </w:pPr>
            <w:r/>
            <w:r>
              <w:rPr>
                <w:sz w:val="20"/>
              </w:rPr>
              <w:t>18 (13.74)</w:t>
            </w:r>
          </w:p>
        </w:tc>
        <w:tc>
          <w:tcPr>
            <w:tcW w:type="dxa" w:w="1871"/>
          </w:tcPr>
          <w:p>
            <w:pPr>
              <w:jc w:val="center"/>
            </w:pPr>
            <w:r/>
            <w:r>
              <w:rPr>
                <w:sz w:val="20"/>
              </w:rPr>
              <w:t>13 (22.81)</w:t>
            </w:r>
          </w:p>
        </w:tc>
        <w:tc>
          <w:tcPr>
            <w:tcW w:type="dxa" w:w="907"/>
          </w:tcPr>
          <w:p>
            <w:pPr>
              <w:jc w:val="center"/>
            </w:pPr>
            <w:r/>
            <w:r>
              <w:rPr>
                <w:sz w:val="20"/>
              </w:rPr>
            </w:r>
          </w:p>
        </w:tc>
      </w:tr>
      <w:tr>
        <w:tc>
          <w:tcPr>
            <w:tcW w:type="dxa" w:w="2948"/>
          </w:tcPr>
          <w:p>
            <w:pPr>
              <w:jc w:val="left"/>
            </w:pPr>
            <w:r/>
            <w:r>
              <w:rPr>
                <w:sz w:val="20"/>
              </w:rPr>
              <w:t>Tuberculosis</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0.103</w:t>
            </w:r>
          </w:p>
        </w:tc>
      </w:tr>
      <w:tr>
        <w:tc>
          <w:tcPr>
            <w:tcW w:type="dxa" w:w="2948"/>
          </w:tcPr>
          <w:p>
            <w:pPr>
              <w:jc w:val="left"/>
            </w:pPr>
            <w:r/>
            <w:r>
              <w:rPr>
                <w:sz w:val="20"/>
              </w:rPr>
              <w:t xml:space="preserve">    no</w:t>
            </w:r>
          </w:p>
        </w:tc>
        <w:tc>
          <w:tcPr>
            <w:tcW w:type="dxa" w:w="1871"/>
          </w:tcPr>
          <w:p>
            <w:pPr>
              <w:jc w:val="center"/>
            </w:pPr>
            <w:r/>
            <w:r>
              <w:rPr>
                <w:sz w:val="20"/>
              </w:rPr>
              <w:t>159 (84.57)</w:t>
            </w:r>
          </w:p>
        </w:tc>
        <w:tc>
          <w:tcPr>
            <w:tcW w:type="dxa" w:w="1871"/>
          </w:tcPr>
          <w:p>
            <w:pPr>
              <w:jc w:val="center"/>
            </w:pPr>
            <w:r/>
            <w:r>
              <w:rPr>
                <w:sz w:val="20"/>
              </w:rPr>
              <w:t>115 (87.79)</w:t>
            </w:r>
          </w:p>
        </w:tc>
        <w:tc>
          <w:tcPr>
            <w:tcW w:type="dxa" w:w="1871"/>
          </w:tcPr>
          <w:p>
            <w:pPr>
              <w:jc w:val="center"/>
            </w:pPr>
            <w:r/>
            <w:r>
              <w:rPr>
                <w:sz w:val="20"/>
              </w:rPr>
              <w:t>44 (77.19)</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29 (15.43)</w:t>
            </w:r>
          </w:p>
        </w:tc>
        <w:tc>
          <w:tcPr>
            <w:tcW w:type="dxa" w:w="1871"/>
          </w:tcPr>
          <w:p>
            <w:pPr>
              <w:jc w:val="center"/>
            </w:pPr>
            <w:r/>
            <w:r>
              <w:rPr>
                <w:sz w:val="20"/>
              </w:rPr>
              <w:t>16 (12.21)</w:t>
            </w:r>
          </w:p>
        </w:tc>
        <w:tc>
          <w:tcPr>
            <w:tcW w:type="dxa" w:w="1871"/>
          </w:tcPr>
          <w:p>
            <w:pPr>
              <w:jc w:val="center"/>
            </w:pPr>
            <w:r/>
            <w:r>
              <w:rPr>
                <w:sz w:val="20"/>
              </w:rPr>
              <w:t>13 (22.81)</w:t>
            </w:r>
          </w:p>
        </w:tc>
        <w:tc>
          <w:tcPr>
            <w:tcW w:type="dxa" w:w="907"/>
          </w:tcPr>
          <w:p>
            <w:pPr>
              <w:jc w:val="center"/>
            </w:pPr>
            <w:r/>
            <w:r>
              <w:rPr>
                <w:sz w:val="20"/>
              </w:rPr>
            </w:r>
          </w:p>
        </w:tc>
      </w:tr>
      <w:tr>
        <w:tc>
          <w:tcPr>
            <w:tcW w:type="dxa" w:w="2948"/>
          </w:tcPr>
          <w:p>
            <w:pPr>
              <w:jc w:val="left"/>
            </w:pPr>
            <w:r/>
            <w:r>
              <w:rPr>
                <w:sz w:val="20"/>
              </w:rPr>
              <w:t>Bronchiectasis</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0.222</w:t>
            </w:r>
          </w:p>
        </w:tc>
      </w:tr>
      <w:tr>
        <w:tc>
          <w:tcPr>
            <w:tcW w:type="dxa" w:w="2948"/>
          </w:tcPr>
          <w:p>
            <w:pPr>
              <w:jc w:val="left"/>
            </w:pPr>
            <w:r/>
            <w:r>
              <w:rPr>
                <w:sz w:val="20"/>
              </w:rPr>
              <w:t xml:space="preserve">    no</w:t>
            </w:r>
          </w:p>
        </w:tc>
        <w:tc>
          <w:tcPr>
            <w:tcW w:type="dxa" w:w="1871"/>
          </w:tcPr>
          <w:p>
            <w:pPr>
              <w:jc w:val="center"/>
            </w:pPr>
            <w:r/>
            <w:r>
              <w:rPr>
                <w:sz w:val="20"/>
              </w:rPr>
              <w:t>118 (62.77)</w:t>
            </w:r>
          </w:p>
        </w:tc>
        <w:tc>
          <w:tcPr>
            <w:tcW w:type="dxa" w:w="1871"/>
          </w:tcPr>
          <w:p>
            <w:pPr>
              <w:jc w:val="center"/>
            </w:pPr>
            <w:r/>
            <w:r>
              <w:rPr>
                <w:sz w:val="20"/>
              </w:rPr>
              <w:t>78 (59.54)</w:t>
            </w:r>
          </w:p>
        </w:tc>
        <w:tc>
          <w:tcPr>
            <w:tcW w:type="dxa" w:w="1871"/>
          </w:tcPr>
          <w:p>
            <w:pPr>
              <w:jc w:val="center"/>
            </w:pPr>
            <w:r/>
            <w:r>
              <w:rPr>
                <w:sz w:val="20"/>
              </w:rPr>
              <w:t>40 (70.18)</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70 (37.23)</w:t>
            </w:r>
          </w:p>
        </w:tc>
        <w:tc>
          <w:tcPr>
            <w:tcW w:type="dxa" w:w="1871"/>
          </w:tcPr>
          <w:p>
            <w:pPr>
              <w:jc w:val="center"/>
            </w:pPr>
            <w:r/>
            <w:r>
              <w:rPr>
                <w:sz w:val="20"/>
              </w:rPr>
              <w:t>53 (40.46)</w:t>
            </w:r>
          </w:p>
        </w:tc>
        <w:tc>
          <w:tcPr>
            <w:tcW w:type="dxa" w:w="1871"/>
          </w:tcPr>
          <w:p>
            <w:pPr>
              <w:jc w:val="center"/>
            </w:pPr>
            <w:r/>
            <w:r>
              <w:rPr>
                <w:sz w:val="20"/>
              </w:rPr>
              <w:t>17 (29.82)</w:t>
            </w:r>
          </w:p>
        </w:tc>
        <w:tc>
          <w:tcPr>
            <w:tcW w:type="dxa" w:w="907"/>
          </w:tcPr>
          <w:p>
            <w:pPr>
              <w:jc w:val="center"/>
            </w:pPr>
            <w:r/>
            <w:r>
              <w:rPr>
                <w:sz w:val="20"/>
              </w:rPr>
            </w:r>
          </w:p>
        </w:tc>
      </w:tr>
      <w:tr>
        <w:tc>
          <w:tcPr>
            <w:tcW w:type="dxa" w:w="2948"/>
          </w:tcPr>
          <w:p>
            <w:pPr>
              <w:jc w:val="left"/>
            </w:pPr>
            <w:r/>
            <w:r>
              <w:rPr>
                <w:sz w:val="20"/>
              </w:rPr>
              <w:t>Fungal infection</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1.000</w:t>
            </w:r>
          </w:p>
        </w:tc>
      </w:tr>
      <w:tr>
        <w:tc>
          <w:tcPr>
            <w:tcW w:type="dxa" w:w="2948"/>
          </w:tcPr>
          <w:p>
            <w:pPr>
              <w:jc w:val="left"/>
            </w:pPr>
            <w:r/>
            <w:r>
              <w:rPr>
                <w:sz w:val="20"/>
              </w:rPr>
              <w:t xml:space="preserve">    no</w:t>
            </w:r>
          </w:p>
        </w:tc>
        <w:tc>
          <w:tcPr>
            <w:tcW w:type="dxa" w:w="1871"/>
          </w:tcPr>
          <w:p>
            <w:pPr>
              <w:jc w:val="center"/>
            </w:pPr>
            <w:r/>
            <w:r>
              <w:rPr>
                <w:sz w:val="20"/>
              </w:rPr>
              <w:t>165 (87.77)</w:t>
            </w:r>
          </w:p>
        </w:tc>
        <w:tc>
          <w:tcPr>
            <w:tcW w:type="dxa" w:w="1871"/>
          </w:tcPr>
          <w:p>
            <w:pPr>
              <w:jc w:val="center"/>
            </w:pPr>
            <w:r/>
            <w:r>
              <w:rPr>
                <w:sz w:val="20"/>
              </w:rPr>
              <w:t>115 (87.79)</w:t>
            </w:r>
          </w:p>
        </w:tc>
        <w:tc>
          <w:tcPr>
            <w:tcW w:type="dxa" w:w="1871"/>
          </w:tcPr>
          <w:p>
            <w:pPr>
              <w:jc w:val="center"/>
            </w:pPr>
            <w:r/>
            <w:r>
              <w:rPr>
                <w:sz w:val="20"/>
              </w:rPr>
              <w:t>50 (87.72)</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23 (12.23)</w:t>
            </w:r>
          </w:p>
        </w:tc>
        <w:tc>
          <w:tcPr>
            <w:tcW w:type="dxa" w:w="1871"/>
          </w:tcPr>
          <w:p>
            <w:pPr>
              <w:jc w:val="center"/>
            </w:pPr>
            <w:r/>
            <w:r>
              <w:rPr>
                <w:sz w:val="20"/>
              </w:rPr>
              <w:t>16 (12.21)</w:t>
            </w:r>
          </w:p>
        </w:tc>
        <w:tc>
          <w:tcPr>
            <w:tcW w:type="dxa" w:w="1871"/>
          </w:tcPr>
          <w:p>
            <w:pPr>
              <w:jc w:val="center"/>
            </w:pPr>
            <w:r/>
            <w:r>
              <w:rPr>
                <w:sz w:val="20"/>
              </w:rPr>
              <w:t>7 (12.28)</w:t>
            </w:r>
          </w:p>
        </w:tc>
        <w:tc>
          <w:tcPr>
            <w:tcW w:type="dxa" w:w="907"/>
          </w:tcPr>
          <w:p>
            <w:pPr>
              <w:jc w:val="center"/>
            </w:pPr>
            <w:r/>
            <w:r>
              <w:rPr>
                <w:sz w:val="20"/>
              </w:rPr>
            </w:r>
          </w:p>
        </w:tc>
      </w:tr>
      <w:tr>
        <w:tc>
          <w:tcPr>
            <w:tcW w:type="dxa" w:w="2948"/>
          </w:tcPr>
          <w:p>
            <w:pPr>
              <w:jc w:val="left"/>
            </w:pPr>
            <w:r/>
            <w:r>
              <w:rPr>
                <w:sz w:val="20"/>
              </w:rPr>
              <w:t>BAA</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0.049</w:t>
            </w:r>
          </w:p>
        </w:tc>
      </w:tr>
      <w:tr>
        <w:tc>
          <w:tcPr>
            <w:tcW w:type="dxa" w:w="2948"/>
          </w:tcPr>
          <w:p>
            <w:pPr>
              <w:jc w:val="left"/>
            </w:pPr>
            <w:r/>
            <w:r>
              <w:rPr>
                <w:sz w:val="20"/>
              </w:rPr>
              <w:t xml:space="preserve">    no</w:t>
            </w:r>
          </w:p>
        </w:tc>
        <w:tc>
          <w:tcPr>
            <w:tcW w:type="dxa" w:w="1871"/>
          </w:tcPr>
          <w:p>
            <w:pPr>
              <w:jc w:val="center"/>
            </w:pPr>
            <w:r/>
            <w:r>
              <w:rPr>
                <w:sz w:val="20"/>
              </w:rPr>
              <w:t>150 (79.79)</w:t>
            </w:r>
          </w:p>
        </w:tc>
        <w:tc>
          <w:tcPr>
            <w:tcW w:type="dxa" w:w="1871"/>
          </w:tcPr>
          <w:p>
            <w:pPr>
              <w:jc w:val="center"/>
            </w:pPr>
            <w:r/>
            <w:r>
              <w:rPr>
                <w:sz w:val="20"/>
              </w:rPr>
              <w:t>110 (83.97)</w:t>
            </w:r>
          </w:p>
        </w:tc>
        <w:tc>
          <w:tcPr>
            <w:tcW w:type="dxa" w:w="1871"/>
          </w:tcPr>
          <w:p>
            <w:pPr>
              <w:jc w:val="center"/>
            </w:pPr>
            <w:r/>
            <w:r>
              <w:rPr>
                <w:sz w:val="20"/>
              </w:rPr>
              <w:t>40 (70.18)</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38 (20.21)</w:t>
            </w:r>
          </w:p>
        </w:tc>
        <w:tc>
          <w:tcPr>
            <w:tcW w:type="dxa" w:w="1871"/>
          </w:tcPr>
          <w:p>
            <w:pPr>
              <w:jc w:val="center"/>
            </w:pPr>
            <w:r/>
            <w:r>
              <w:rPr>
                <w:sz w:val="20"/>
              </w:rPr>
              <w:t>21 (16.03)</w:t>
            </w:r>
          </w:p>
        </w:tc>
        <w:tc>
          <w:tcPr>
            <w:tcW w:type="dxa" w:w="1871"/>
          </w:tcPr>
          <w:p>
            <w:pPr>
              <w:jc w:val="center"/>
            </w:pPr>
            <w:r/>
            <w:r>
              <w:rPr>
                <w:sz w:val="20"/>
              </w:rPr>
              <w:t>17 (29.82)</w:t>
            </w:r>
          </w:p>
        </w:tc>
        <w:tc>
          <w:tcPr>
            <w:tcW w:type="dxa" w:w="907"/>
          </w:tcPr>
          <w:p>
            <w:pPr>
              <w:jc w:val="center"/>
            </w:pPr>
            <w:r/>
            <w:r>
              <w:rPr>
                <w:sz w:val="20"/>
              </w:rPr>
            </w:r>
          </w:p>
        </w:tc>
      </w:tr>
      <w:tr>
        <w:tc>
          <w:tcPr>
            <w:tcW w:type="dxa" w:w="2948"/>
          </w:tcPr>
          <w:p>
            <w:pPr>
              <w:jc w:val="left"/>
            </w:pPr>
            <w:r/>
            <w:r>
              <w:rPr>
                <w:sz w:val="20"/>
              </w:rPr>
              <w:t>Antiplatelet drugs</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0.757</w:t>
            </w:r>
          </w:p>
        </w:tc>
      </w:tr>
      <w:tr>
        <w:tc>
          <w:tcPr>
            <w:tcW w:type="dxa" w:w="2948"/>
          </w:tcPr>
          <w:p>
            <w:pPr>
              <w:jc w:val="left"/>
            </w:pPr>
            <w:r/>
            <w:r>
              <w:rPr>
                <w:sz w:val="20"/>
              </w:rPr>
              <w:t xml:space="preserve">    no</w:t>
            </w:r>
          </w:p>
        </w:tc>
        <w:tc>
          <w:tcPr>
            <w:tcW w:type="dxa" w:w="1871"/>
          </w:tcPr>
          <w:p>
            <w:pPr>
              <w:jc w:val="center"/>
            </w:pPr>
            <w:r/>
            <w:r>
              <w:rPr>
                <w:sz w:val="20"/>
              </w:rPr>
              <w:t>176 (93.62)</w:t>
            </w:r>
          </w:p>
        </w:tc>
        <w:tc>
          <w:tcPr>
            <w:tcW w:type="dxa" w:w="1871"/>
          </w:tcPr>
          <w:p>
            <w:pPr>
              <w:jc w:val="center"/>
            </w:pPr>
            <w:r/>
            <w:r>
              <w:rPr>
                <w:sz w:val="20"/>
              </w:rPr>
              <w:t>123 (93.89)</w:t>
            </w:r>
          </w:p>
        </w:tc>
        <w:tc>
          <w:tcPr>
            <w:tcW w:type="dxa" w:w="1871"/>
          </w:tcPr>
          <w:p>
            <w:pPr>
              <w:jc w:val="center"/>
            </w:pPr>
            <w:r/>
            <w:r>
              <w:rPr>
                <w:sz w:val="20"/>
              </w:rPr>
              <w:t>53 (92.98)</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12 (6.38)</w:t>
            </w:r>
          </w:p>
        </w:tc>
        <w:tc>
          <w:tcPr>
            <w:tcW w:type="dxa" w:w="1871"/>
          </w:tcPr>
          <w:p>
            <w:pPr>
              <w:jc w:val="center"/>
            </w:pPr>
            <w:r/>
            <w:r>
              <w:rPr>
                <w:sz w:val="20"/>
              </w:rPr>
              <w:t>8 (6.11)</w:t>
            </w:r>
          </w:p>
        </w:tc>
        <w:tc>
          <w:tcPr>
            <w:tcW w:type="dxa" w:w="1871"/>
          </w:tcPr>
          <w:p>
            <w:pPr>
              <w:jc w:val="center"/>
            </w:pPr>
            <w:r/>
            <w:r>
              <w:rPr>
                <w:sz w:val="20"/>
              </w:rPr>
              <w:t>4 (7.02)</w:t>
            </w:r>
          </w:p>
        </w:tc>
        <w:tc>
          <w:tcPr>
            <w:tcW w:type="dxa" w:w="907"/>
          </w:tcPr>
          <w:p>
            <w:pPr>
              <w:jc w:val="center"/>
            </w:pPr>
            <w:r/>
            <w:r>
              <w:rPr>
                <w:sz w:val="20"/>
              </w:rPr>
            </w:r>
          </w:p>
        </w:tc>
      </w:tr>
      <w:tr>
        <w:tc>
          <w:tcPr>
            <w:tcW w:type="dxa" w:w="2948"/>
          </w:tcPr>
          <w:p>
            <w:pPr>
              <w:jc w:val="left"/>
            </w:pPr>
            <w:r/>
            <w:r>
              <w:rPr>
                <w:sz w:val="20"/>
              </w:rPr>
              <w:t>Antithrombotic drugs</w:t>
            </w:r>
          </w:p>
        </w:tc>
        <w:tc>
          <w:tcPr>
            <w:tcW w:type="dxa" w:w="1871"/>
          </w:tcPr>
          <w:p>
            <w:pPr>
              <w:jc w:val="center"/>
            </w:pPr>
            <w:r/>
            <w:r>
              <w:rPr>
                <w:sz w:val="20"/>
              </w:rPr>
            </w:r>
          </w:p>
        </w:tc>
        <w:tc>
          <w:tcPr>
            <w:tcW w:type="dxa" w:w="1871"/>
          </w:tcPr>
          <w:p>
            <w:pPr>
              <w:jc w:val="center"/>
            </w:pPr>
            <w:r/>
            <w:r>
              <w:rPr>
                <w:sz w:val="20"/>
              </w:rPr>
            </w:r>
          </w:p>
        </w:tc>
        <w:tc>
          <w:tcPr>
            <w:tcW w:type="dxa" w:w="1871"/>
          </w:tcPr>
          <w:p>
            <w:pPr>
              <w:jc w:val="center"/>
            </w:pPr>
            <w:r/>
            <w:r>
              <w:rPr>
                <w:sz w:val="20"/>
              </w:rPr>
            </w:r>
          </w:p>
        </w:tc>
        <w:tc>
          <w:tcPr>
            <w:tcW w:type="dxa" w:w="907"/>
          </w:tcPr>
          <w:p>
            <w:pPr>
              <w:jc w:val="center"/>
            </w:pPr>
            <w:r/>
            <w:r>
              <w:rPr>
                <w:sz w:val="20"/>
              </w:rPr>
              <w:t>1.000</w:t>
            </w:r>
          </w:p>
        </w:tc>
      </w:tr>
      <w:tr>
        <w:tc>
          <w:tcPr>
            <w:tcW w:type="dxa" w:w="2948"/>
          </w:tcPr>
          <w:p>
            <w:pPr>
              <w:jc w:val="left"/>
            </w:pPr>
            <w:r/>
            <w:r>
              <w:rPr>
                <w:sz w:val="20"/>
              </w:rPr>
              <w:t xml:space="preserve">    no</w:t>
            </w:r>
          </w:p>
        </w:tc>
        <w:tc>
          <w:tcPr>
            <w:tcW w:type="dxa" w:w="1871"/>
          </w:tcPr>
          <w:p>
            <w:pPr>
              <w:jc w:val="center"/>
            </w:pPr>
            <w:r/>
            <w:r>
              <w:rPr>
                <w:sz w:val="20"/>
              </w:rPr>
              <w:t>182 (96.81)</w:t>
            </w:r>
          </w:p>
        </w:tc>
        <w:tc>
          <w:tcPr>
            <w:tcW w:type="dxa" w:w="1871"/>
          </w:tcPr>
          <w:p>
            <w:pPr>
              <w:jc w:val="center"/>
            </w:pPr>
            <w:r/>
            <w:r>
              <w:rPr>
                <w:sz w:val="20"/>
              </w:rPr>
              <w:t>127 (96.95)</w:t>
            </w:r>
          </w:p>
        </w:tc>
        <w:tc>
          <w:tcPr>
            <w:tcW w:type="dxa" w:w="1871"/>
          </w:tcPr>
          <w:p>
            <w:pPr>
              <w:jc w:val="center"/>
            </w:pPr>
            <w:r/>
            <w:r>
              <w:rPr>
                <w:sz w:val="20"/>
              </w:rPr>
              <w:t>55 (96.49)</w:t>
            </w:r>
          </w:p>
        </w:tc>
        <w:tc>
          <w:tcPr>
            <w:tcW w:type="dxa" w:w="907"/>
          </w:tcPr>
          <w:p>
            <w:pPr>
              <w:jc w:val="center"/>
            </w:pPr>
            <w:r/>
            <w:r>
              <w:rPr>
                <w:sz w:val="20"/>
              </w:rPr>
            </w:r>
          </w:p>
        </w:tc>
      </w:tr>
      <w:tr>
        <w:tc>
          <w:tcPr>
            <w:tcW w:type="dxa" w:w="2948"/>
          </w:tcPr>
          <w:p>
            <w:pPr>
              <w:jc w:val="left"/>
            </w:pPr>
            <w:r/>
            <w:r>
              <w:rPr>
                <w:sz w:val="20"/>
              </w:rPr>
              <w:t xml:space="preserve">    yes</w:t>
            </w:r>
          </w:p>
        </w:tc>
        <w:tc>
          <w:tcPr>
            <w:tcW w:type="dxa" w:w="1871"/>
          </w:tcPr>
          <w:p>
            <w:pPr>
              <w:jc w:val="center"/>
            </w:pPr>
            <w:r/>
            <w:r>
              <w:rPr>
                <w:sz w:val="20"/>
              </w:rPr>
              <w:t>6 (3.19)</w:t>
            </w:r>
          </w:p>
        </w:tc>
        <w:tc>
          <w:tcPr>
            <w:tcW w:type="dxa" w:w="1871"/>
          </w:tcPr>
          <w:p>
            <w:pPr>
              <w:jc w:val="center"/>
            </w:pPr>
            <w:r/>
            <w:r>
              <w:rPr>
                <w:sz w:val="20"/>
              </w:rPr>
              <w:t>4 (3.05)</w:t>
            </w:r>
          </w:p>
        </w:tc>
        <w:tc>
          <w:tcPr>
            <w:tcW w:type="dxa" w:w="1871"/>
          </w:tcPr>
          <w:p>
            <w:pPr>
              <w:jc w:val="center"/>
            </w:pPr>
            <w:r/>
            <w:r>
              <w:rPr>
                <w:sz w:val="20"/>
              </w:rPr>
              <w:t>2 (3.51)</w:t>
            </w:r>
          </w:p>
        </w:tc>
        <w:tc>
          <w:tcPr>
            <w:tcW w:type="dxa" w:w="907"/>
          </w:tcPr>
          <w:p>
            <w:pPr>
              <w:jc w:val="center"/>
            </w:pPr>
            <w:r/>
            <w:r>
              <w:rPr>
                <w:sz w:val="20"/>
              </w:rPr>
            </w:r>
          </w:p>
        </w:tc>
      </w:tr>
      <w:tr>
        <w:tc>
          <w:tcPr>
            <w:tcW w:type="dxa" w:w="2948"/>
          </w:tcPr>
          <w:p>
            <w:pPr>
              <w:jc w:val="left"/>
            </w:pPr>
            <w:r/>
            <w:r>
              <w:rPr>
                <w:sz w:val="20"/>
              </w:rPr>
              <w:t>PLT (10⁹/L)</w:t>
            </w:r>
          </w:p>
        </w:tc>
        <w:tc>
          <w:tcPr>
            <w:tcW w:type="dxa" w:w="1871"/>
          </w:tcPr>
          <w:p>
            <w:pPr>
              <w:jc w:val="center"/>
            </w:pPr>
            <w:r/>
            <w:r>
              <w:rPr>
                <w:sz w:val="20"/>
              </w:rPr>
              <w:t>204.0 [177.5, 256.3]</w:t>
            </w:r>
          </w:p>
        </w:tc>
        <w:tc>
          <w:tcPr>
            <w:tcW w:type="dxa" w:w="1871"/>
          </w:tcPr>
          <w:p>
            <w:pPr>
              <w:jc w:val="center"/>
            </w:pPr>
            <w:r/>
            <w:r>
              <w:rPr>
                <w:sz w:val="20"/>
              </w:rPr>
              <w:t>206.0 [184.0, 249.5]</w:t>
            </w:r>
          </w:p>
        </w:tc>
        <w:tc>
          <w:tcPr>
            <w:tcW w:type="dxa" w:w="1871"/>
          </w:tcPr>
          <w:p>
            <w:pPr>
              <w:jc w:val="center"/>
            </w:pPr>
            <w:r/>
            <w:r>
              <w:rPr>
                <w:sz w:val="20"/>
              </w:rPr>
              <w:t>203.0 [169.0, 258.0]</w:t>
            </w:r>
          </w:p>
        </w:tc>
        <w:tc>
          <w:tcPr>
            <w:tcW w:type="dxa" w:w="907"/>
          </w:tcPr>
          <w:p>
            <w:pPr>
              <w:jc w:val="center"/>
            </w:pPr>
            <w:r/>
            <w:r>
              <w:rPr>
                <w:sz w:val="20"/>
              </w:rPr>
              <w:t>0.529</w:t>
            </w:r>
          </w:p>
        </w:tc>
      </w:tr>
      <w:tr>
        <w:tc>
          <w:tcPr>
            <w:tcW w:type="dxa" w:w="2948"/>
          </w:tcPr>
          <w:p>
            <w:pPr>
              <w:jc w:val="left"/>
            </w:pPr>
            <w:r/>
            <w:r>
              <w:rPr>
                <w:sz w:val="20"/>
              </w:rPr>
              <w:t>D-dimer (mg/L)</w:t>
            </w:r>
          </w:p>
        </w:tc>
        <w:tc>
          <w:tcPr>
            <w:tcW w:type="dxa" w:w="1871"/>
          </w:tcPr>
          <w:p>
            <w:pPr>
              <w:jc w:val="center"/>
            </w:pPr>
            <w:r/>
            <w:r>
              <w:rPr>
                <w:sz w:val="20"/>
              </w:rPr>
              <w:t>0.34 [0.20, 0.69]</w:t>
            </w:r>
          </w:p>
        </w:tc>
        <w:tc>
          <w:tcPr>
            <w:tcW w:type="dxa" w:w="1871"/>
          </w:tcPr>
          <w:p>
            <w:pPr>
              <w:jc w:val="center"/>
            </w:pPr>
            <w:r/>
            <w:r>
              <w:rPr>
                <w:sz w:val="20"/>
              </w:rPr>
              <w:t>0.38 [0.19, 0.66]</w:t>
            </w:r>
          </w:p>
        </w:tc>
        <w:tc>
          <w:tcPr>
            <w:tcW w:type="dxa" w:w="1871"/>
          </w:tcPr>
          <w:p>
            <w:pPr>
              <w:jc w:val="center"/>
            </w:pPr>
            <w:r/>
            <w:r>
              <w:rPr>
                <w:sz w:val="20"/>
              </w:rPr>
              <w:t>0.33 [0.23, 0.70]</w:t>
            </w:r>
          </w:p>
        </w:tc>
        <w:tc>
          <w:tcPr>
            <w:tcW w:type="dxa" w:w="907"/>
          </w:tcPr>
          <w:p>
            <w:pPr>
              <w:jc w:val="center"/>
            </w:pPr>
            <w:r/>
            <w:r>
              <w:rPr>
                <w:sz w:val="20"/>
              </w:rPr>
              <w:t>0.772</w:t>
            </w:r>
          </w:p>
        </w:tc>
      </w:tr>
      <w:tr>
        <w:tc>
          <w:tcPr>
            <w:tcW w:type="dxa" w:w="2948"/>
          </w:tcPr>
          <w:p>
            <w:pPr>
              <w:jc w:val="left"/>
            </w:pPr>
            <w:r/>
            <w:r>
              <w:rPr>
                <w:sz w:val="20"/>
              </w:rPr>
              <w:t>INR</w:t>
            </w:r>
          </w:p>
        </w:tc>
        <w:tc>
          <w:tcPr>
            <w:tcW w:type="dxa" w:w="1871"/>
          </w:tcPr>
          <w:p>
            <w:pPr>
              <w:jc w:val="center"/>
            </w:pPr>
            <w:r/>
            <w:r>
              <w:rPr>
                <w:sz w:val="20"/>
              </w:rPr>
              <w:t>0.98 [0.92, 1.05]</w:t>
            </w:r>
          </w:p>
        </w:tc>
        <w:tc>
          <w:tcPr>
            <w:tcW w:type="dxa" w:w="1871"/>
          </w:tcPr>
          <w:p>
            <w:pPr>
              <w:jc w:val="center"/>
            </w:pPr>
            <w:r/>
            <w:r>
              <w:rPr>
                <w:sz w:val="20"/>
              </w:rPr>
              <w:t>0.98 [0.94, 1.03]</w:t>
            </w:r>
          </w:p>
        </w:tc>
        <w:tc>
          <w:tcPr>
            <w:tcW w:type="dxa" w:w="1871"/>
          </w:tcPr>
          <w:p>
            <w:pPr>
              <w:jc w:val="center"/>
            </w:pPr>
            <w:r/>
            <w:r>
              <w:rPr>
                <w:sz w:val="20"/>
              </w:rPr>
              <w:t>0.98 [0.92, 1.07]</w:t>
            </w:r>
          </w:p>
        </w:tc>
        <w:tc>
          <w:tcPr>
            <w:tcW w:type="dxa" w:w="907"/>
          </w:tcPr>
          <w:p>
            <w:pPr>
              <w:jc w:val="center"/>
            </w:pPr>
            <w:r/>
            <w:r>
              <w:rPr>
                <w:sz w:val="20"/>
              </w:rPr>
              <w:t>0.828</w:t>
            </w:r>
          </w:p>
        </w:tc>
      </w:tr>
      <w:tr>
        <w:tc>
          <w:tcPr>
            <w:tcW w:type="dxa" w:w="2948"/>
          </w:tcPr>
          <w:p>
            <w:pPr>
              <w:jc w:val="left"/>
            </w:pPr>
            <w:r/>
            <w:r>
              <w:rPr>
                <w:sz w:val="20"/>
              </w:rPr>
              <w:t>Fibrinogen (g/L)</w:t>
            </w:r>
          </w:p>
        </w:tc>
        <w:tc>
          <w:tcPr>
            <w:tcW w:type="dxa" w:w="1871"/>
          </w:tcPr>
          <w:p>
            <w:pPr>
              <w:jc w:val="center"/>
            </w:pPr>
            <w:r/>
            <w:r>
              <w:rPr>
                <w:sz w:val="20"/>
              </w:rPr>
              <w:t>3.28 [2.51, 4.18]</w:t>
            </w:r>
          </w:p>
        </w:tc>
        <w:tc>
          <w:tcPr>
            <w:tcW w:type="dxa" w:w="1871"/>
          </w:tcPr>
          <w:p>
            <w:pPr>
              <w:jc w:val="center"/>
            </w:pPr>
            <w:r/>
            <w:r>
              <w:rPr>
                <w:sz w:val="20"/>
              </w:rPr>
              <w:t>3.31 [2.46, 4.05]</w:t>
            </w:r>
          </w:p>
        </w:tc>
        <w:tc>
          <w:tcPr>
            <w:tcW w:type="dxa" w:w="1871"/>
          </w:tcPr>
          <w:p>
            <w:pPr>
              <w:jc w:val="center"/>
            </w:pPr>
            <w:r/>
            <w:r>
              <w:rPr>
                <w:sz w:val="20"/>
              </w:rPr>
              <w:t>3.24 [2.60, 4.27]</w:t>
            </w:r>
          </w:p>
        </w:tc>
        <w:tc>
          <w:tcPr>
            <w:tcW w:type="dxa" w:w="907"/>
          </w:tcPr>
          <w:p>
            <w:pPr>
              <w:jc w:val="center"/>
            </w:pPr>
            <w:r/>
            <w:r>
              <w:rPr>
                <w:sz w:val="20"/>
              </w:rPr>
              <w:t>0.582</w:t>
            </w:r>
          </w:p>
        </w:tc>
      </w:tr>
    </w:tbl>
    <w:p>
      <w:pPr>
        <w:spacing w:before="60"/>
      </w:pPr>
      <w:r>
        <w:rPr>
          <w:i/>
          <w:sz w:val="18"/>
        </w:rPr>
        <w:t>Data are n (%) for categorical variables and median [Q1, Q3] for continuous variables. BAA, bronchial artery abnormality, defined as the presence of bronchial artery–pulmonary fistula (BAPF), bronchial artery malformation (BAM), or both (n=27 BAPF and n=18 BAM, with 7 patients carrying both). PLT, platelet count; INR, international normalised ratio.</w:t>
      </w:r>
    </w:p>
    <w:p>
      <w:r>
        <w:br w:type="page"/>
      </w:r>
    </w:p>
    <w:p>
      <w:pPr>
        <w:spacing w:before="80" w:after="80"/>
      </w:pPr>
      <w:r>
        <w:rPr>
          <w:b/>
        </w:rPr>
        <w:t>Table</w:t>
      </w:r>
      <w:r>
        <w:t xml:space="preserve"> 2. Univariable and multivariable logistic regression for massive haemoptysis (training cohort).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041"/>
          </w:tcPr>
          <w:p>
            <w:pPr>
              <w:jc w:val="left"/>
            </w:pPr>
            <w:r/>
            <w:r>
              <w:rPr>
                <w:b/>
                <w:sz w:val="20"/>
              </w:rPr>
              <w:t>Variable</w:t>
            </w:r>
          </w:p>
        </w:tc>
        <w:tc>
          <w:tcPr>
            <w:tcW w:type="dxa" w:w="2494"/>
          </w:tcPr>
          <w:p>
            <w:pPr>
              <w:jc w:val="center"/>
            </w:pPr>
            <w:r/>
            <w:r>
              <w:rPr>
                <w:b/>
                <w:sz w:val="20"/>
              </w:rPr>
              <w:t>Univariable OR (95% CI)</w:t>
            </w:r>
          </w:p>
        </w:tc>
        <w:tc>
          <w:tcPr>
            <w:tcW w:type="dxa" w:w="907"/>
          </w:tcPr>
          <w:p>
            <w:pPr>
              <w:jc w:val="center"/>
            </w:pPr>
            <w:r/>
            <w:r>
              <w:rPr>
                <w:b/>
                <w:sz w:val="20"/>
              </w:rPr>
              <w:t>P</w:t>
            </w:r>
          </w:p>
        </w:tc>
        <w:tc>
          <w:tcPr>
            <w:tcW w:type="dxa" w:w="2494"/>
          </w:tcPr>
          <w:p>
            <w:pPr>
              <w:jc w:val="center"/>
            </w:pPr>
            <w:r/>
            <w:r>
              <w:rPr>
                <w:b/>
                <w:sz w:val="20"/>
              </w:rPr>
              <w:t>Multivariable OR (95% CI)</w:t>
            </w:r>
          </w:p>
        </w:tc>
        <w:tc>
          <w:tcPr>
            <w:tcW w:type="dxa" w:w="907"/>
          </w:tcPr>
          <w:p>
            <w:pPr>
              <w:jc w:val="center"/>
            </w:pPr>
            <w:r/>
            <w:r>
              <w:rPr>
                <w:b/>
                <w:sz w:val="20"/>
              </w:rPr>
              <w:t>P</w:t>
            </w:r>
          </w:p>
        </w:tc>
      </w:tr>
      <w:tr>
        <w:tc>
          <w:tcPr>
            <w:tcW w:type="dxa" w:w="2041"/>
          </w:tcPr>
          <w:p>
            <w:pPr>
              <w:jc w:val="left"/>
            </w:pPr>
            <w:r/>
            <w:r>
              <w:rPr>
                <w:sz w:val="20"/>
              </w:rPr>
              <w:t>Age</w:t>
            </w:r>
          </w:p>
        </w:tc>
        <w:tc>
          <w:tcPr>
            <w:tcW w:type="dxa" w:w="2494"/>
          </w:tcPr>
          <w:p>
            <w:pPr>
              <w:jc w:val="center"/>
            </w:pPr>
            <w:r/>
            <w:r>
              <w:rPr>
                <w:sz w:val="20"/>
              </w:rPr>
              <w:t>1.02 (0.983–1.047)</w:t>
            </w:r>
          </w:p>
        </w:tc>
        <w:tc>
          <w:tcPr>
            <w:tcW w:type="dxa" w:w="907"/>
          </w:tcPr>
          <w:p>
            <w:pPr>
              <w:jc w:val="center"/>
            </w:pPr>
            <w:r/>
            <w:r>
              <w:rPr>
                <w:sz w:val="20"/>
              </w:rPr>
              <w:t>0.360</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Sex</w:t>
            </w:r>
          </w:p>
        </w:tc>
        <w:tc>
          <w:tcPr>
            <w:tcW w:type="dxa" w:w="2494"/>
          </w:tcPr>
          <w:p>
            <w:pPr>
              <w:jc w:val="center"/>
            </w:pPr>
            <w:r/>
            <w:r>
              <w:rPr>
                <w:sz w:val="20"/>
              </w:rPr>
              <w:t>1.40 (0.563–3.461)</w:t>
            </w:r>
          </w:p>
        </w:tc>
        <w:tc>
          <w:tcPr>
            <w:tcW w:type="dxa" w:w="907"/>
          </w:tcPr>
          <w:p>
            <w:pPr>
              <w:jc w:val="center"/>
            </w:pPr>
            <w:r/>
            <w:r>
              <w:rPr>
                <w:sz w:val="20"/>
              </w:rPr>
              <w:t>0.472</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Smoking status</w:t>
            </w:r>
          </w:p>
        </w:tc>
        <w:tc>
          <w:tcPr>
            <w:tcW w:type="dxa" w:w="2494"/>
          </w:tcPr>
          <w:p>
            <w:pPr>
              <w:jc w:val="center"/>
            </w:pPr>
            <w:r/>
            <w:r>
              <w:rPr>
                <w:sz w:val="20"/>
              </w:rPr>
              <w:t>0.89 (0.392–2.037)</w:t>
            </w:r>
          </w:p>
        </w:tc>
        <w:tc>
          <w:tcPr>
            <w:tcW w:type="dxa" w:w="907"/>
          </w:tcPr>
          <w:p>
            <w:pPr>
              <w:jc w:val="center"/>
            </w:pPr>
            <w:r/>
            <w:r>
              <w:rPr>
                <w:sz w:val="20"/>
              </w:rPr>
              <w:t>0.789</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Duration of smoking</w:t>
            </w:r>
          </w:p>
        </w:tc>
        <w:tc>
          <w:tcPr>
            <w:tcW w:type="dxa" w:w="2494"/>
          </w:tcPr>
          <w:p>
            <w:pPr>
              <w:jc w:val="center"/>
            </w:pPr>
            <w:r/>
            <w:r>
              <w:rPr>
                <w:sz w:val="20"/>
              </w:rPr>
              <w:t>1.00 (0.977–1.018)</w:t>
            </w:r>
          </w:p>
        </w:tc>
        <w:tc>
          <w:tcPr>
            <w:tcW w:type="dxa" w:w="907"/>
          </w:tcPr>
          <w:p>
            <w:pPr>
              <w:jc w:val="center"/>
            </w:pPr>
            <w:r/>
            <w:r>
              <w:rPr>
                <w:sz w:val="20"/>
              </w:rPr>
              <w:t>0.813</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Cancer</w:t>
            </w:r>
          </w:p>
        </w:tc>
        <w:tc>
          <w:tcPr>
            <w:tcW w:type="dxa" w:w="2494"/>
          </w:tcPr>
          <w:p>
            <w:pPr>
              <w:jc w:val="center"/>
            </w:pPr>
            <w:r/>
            <w:r>
              <w:rPr>
                <w:sz w:val="20"/>
              </w:rPr>
              <w:t>0.64 (0.171–2.368)</w:t>
            </w:r>
          </w:p>
        </w:tc>
        <w:tc>
          <w:tcPr>
            <w:tcW w:type="dxa" w:w="907"/>
          </w:tcPr>
          <w:p>
            <w:pPr>
              <w:jc w:val="center"/>
            </w:pPr>
            <w:r/>
            <w:r>
              <w:rPr>
                <w:sz w:val="20"/>
              </w:rPr>
              <w:t>0.501</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Tuberculosis</w:t>
            </w:r>
          </w:p>
        </w:tc>
        <w:tc>
          <w:tcPr>
            <w:tcW w:type="dxa" w:w="2494"/>
          </w:tcPr>
          <w:p>
            <w:pPr>
              <w:jc w:val="center"/>
            </w:pPr>
            <w:r/>
            <w:r>
              <w:rPr>
                <w:sz w:val="20"/>
              </w:rPr>
              <w:t>4.23 (1.429–12.505)</w:t>
            </w:r>
          </w:p>
        </w:tc>
        <w:tc>
          <w:tcPr>
            <w:tcW w:type="dxa" w:w="907"/>
          </w:tcPr>
          <w:p>
            <w:pPr>
              <w:jc w:val="center"/>
            </w:pPr>
            <w:r/>
            <w:r>
              <w:rPr>
                <w:sz w:val="20"/>
              </w:rPr>
              <w:t>0.009</w:t>
            </w:r>
          </w:p>
        </w:tc>
        <w:tc>
          <w:tcPr>
            <w:tcW w:type="dxa" w:w="2494"/>
          </w:tcPr>
          <w:p>
            <w:pPr>
              <w:jc w:val="center"/>
            </w:pPr>
            <w:r/>
            <w:r>
              <w:rPr>
                <w:sz w:val="20"/>
              </w:rPr>
              <w:t>5.18 (1.419–18.931)</w:t>
            </w:r>
          </w:p>
        </w:tc>
        <w:tc>
          <w:tcPr>
            <w:tcW w:type="dxa" w:w="907"/>
          </w:tcPr>
          <w:p>
            <w:pPr>
              <w:jc w:val="center"/>
            </w:pPr>
            <w:r/>
            <w:r>
              <w:rPr>
                <w:sz w:val="20"/>
              </w:rPr>
              <w:t>0.013</w:t>
            </w:r>
          </w:p>
        </w:tc>
      </w:tr>
      <w:tr>
        <w:tc>
          <w:tcPr>
            <w:tcW w:type="dxa" w:w="2041"/>
          </w:tcPr>
          <w:p>
            <w:pPr>
              <w:jc w:val="left"/>
            </w:pPr>
            <w:r/>
            <w:r>
              <w:rPr>
                <w:sz w:val="20"/>
              </w:rPr>
              <w:t>Bronchiectasis</w:t>
            </w:r>
          </w:p>
        </w:tc>
        <w:tc>
          <w:tcPr>
            <w:tcW w:type="dxa" w:w="2494"/>
          </w:tcPr>
          <w:p>
            <w:pPr>
              <w:jc w:val="center"/>
            </w:pPr>
            <w:r/>
            <w:r>
              <w:rPr>
                <w:sz w:val="20"/>
              </w:rPr>
              <w:t>2.36 (1.031–5.409)</w:t>
            </w:r>
          </w:p>
        </w:tc>
        <w:tc>
          <w:tcPr>
            <w:tcW w:type="dxa" w:w="907"/>
          </w:tcPr>
          <w:p>
            <w:pPr>
              <w:jc w:val="center"/>
            </w:pPr>
            <w:r/>
            <w:r>
              <w:rPr>
                <w:sz w:val="20"/>
              </w:rPr>
              <w:t>0.042</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Fungal infection</w:t>
            </w:r>
          </w:p>
        </w:tc>
        <w:tc>
          <w:tcPr>
            <w:tcW w:type="dxa" w:w="2494"/>
          </w:tcPr>
          <w:p>
            <w:pPr>
              <w:jc w:val="center"/>
            </w:pPr>
            <w:r/>
            <w:r>
              <w:rPr>
                <w:sz w:val="20"/>
              </w:rPr>
              <w:t>1.14 (0.339–3.838)</w:t>
            </w:r>
          </w:p>
        </w:tc>
        <w:tc>
          <w:tcPr>
            <w:tcW w:type="dxa" w:w="907"/>
          </w:tcPr>
          <w:p>
            <w:pPr>
              <w:jc w:val="center"/>
            </w:pPr>
            <w:r/>
            <w:r>
              <w:rPr>
                <w:sz w:val="20"/>
              </w:rPr>
              <w:t>0.831</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BAA</w:t>
            </w:r>
          </w:p>
        </w:tc>
        <w:tc>
          <w:tcPr>
            <w:tcW w:type="dxa" w:w="2494"/>
          </w:tcPr>
          <w:p>
            <w:pPr>
              <w:jc w:val="center"/>
            </w:pPr>
            <w:r/>
            <w:r>
              <w:rPr>
                <w:sz w:val="20"/>
              </w:rPr>
              <w:t>5.27 (1.960–14.162)</w:t>
            </w:r>
          </w:p>
        </w:tc>
        <w:tc>
          <w:tcPr>
            <w:tcW w:type="dxa" w:w="907"/>
          </w:tcPr>
          <w:p>
            <w:pPr>
              <w:jc w:val="center"/>
            </w:pPr>
            <w:r/>
            <w:r>
              <w:rPr>
                <w:sz w:val="20"/>
              </w:rPr>
              <w:t>0.001</w:t>
            </w:r>
          </w:p>
        </w:tc>
        <w:tc>
          <w:tcPr>
            <w:tcW w:type="dxa" w:w="2494"/>
          </w:tcPr>
          <w:p>
            <w:pPr>
              <w:jc w:val="center"/>
            </w:pPr>
            <w:r/>
            <w:r>
              <w:rPr>
                <w:sz w:val="20"/>
              </w:rPr>
              <w:t>4.32 (1.325–14.098)</w:t>
            </w:r>
          </w:p>
        </w:tc>
        <w:tc>
          <w:tcPr>
            <w:tcW w:type="dxa" w:w="907"/>
          </w:tcPr>
          <w:p>
            <w:pPr>
              <w:jc w:val="center"/>
            </w:pPr>
            <w:r/>
            <w:r>
              <w:rPr>
                <w:sz w:val="20"/>
              </w:rPr>
              <w:t>0.015</w:t>
            </w:r>
          </w:p>
        </w:tc>
      </w:tr>
      <w:tr>
        <w:tc>
          <w:tcPr>
            <w:tcW w:type="dxa" w:w="2041"/>
          </w:tcPr>
          <w:p>
            <w:pPr>
              <w:jc w:val="left"/>
            </w:pPr>
            <w:r/>
            <w:r>
              <w:rPr>
                <w:sz w:val="20"/>
              </w:rPr>
              <w:t>Antiplatelet drugs</w:t>
            </w:r>
          </w:p>
        </w:tc>
        <w:tc>
          <w:tcPr>
            <w:tcW w:type="dxa" w:w="2494"/>
          </w:tcPr>
          <w:p>
            <w:pPr>
              <w:jc w:val="center"/>
            </w:pPr>
            <w:r/>
            <w:r>
              <w:rPr>
                <w:sz w:val="20"/>
              </w:rPr>
              <w:t>0.46 (0.055–3.921)</w:t>
            </w:r>
          </w:p>
        </w:tc>
        <w:tc>
          <w:tcPr>
            <w:tcW w:type="dxa" w:w="907"/>
          </w:tcPr>
          <w:p>
            <w:pPr>
              <w:jc w:val="center"/>
            </w:pPr>
            <w:r/>
            <w:r>
              <w:rPr>
                <w:sz w:val="20"/>
              </w:rPr>
              <w:t>0.480</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Antithrombotic drugs</w:t>
            </w:r>
          </w:p>
        </w:tc>
        <w:tc>
          <w:tcPr>
            <w:tcW w:type="dxa" w:w="2494"/>
          </w:tcPr>
          <w:p>
            <w:pPr>
              <w:jc w:val="center"/>
            </w:pPr>
            <w:r/>
            <w:r>
              <w:rPr>
                <w:sz w:val="20"/>
              </w:rPr>
              <w:t>1.13 (0.113–11.244)</w:t>
            </w:r>
          </w:p>
        </w:tc>
        <w:tc>
          <w:tcPr>
            <w:tcW w:type="dxa" w:w="907"/>
          </w:tcPr>
          <w:p>
            <w:pPr>
              <w:jc w:val="center"/>
            </w:pPr>
            <w:r/>
            <w:r>
              <w:rPr>
                <w:sz w:val="20"/>
              </w:rPr>
              <w:t>0.919</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PLT</w:t>
            </w:r>
          </w:p>
        </w:tc>
        <w:tc>
          <w:tcPr>
            <w:tcW w:type="dxa" w:w="2494"/>
          </w:tcPr>
          <w:p>
            <w:pPr>
              <w:jc w:val="center"/>
            </w:pPr>
            <w:r/>
            <w:r>
              <w:rPr>
                <w:sz w:val="20"/>
              </w:rPr>
              <w:t>1.00 (0.990–1.003)</w:t>
            </w:r>
          </w:p>
        </w:tc>
        <w:tc>
          <w:tcPr>
            <w:tcW w:type="dxa" w:w="907"/>
          </w:tcPr>
          <w:p>
            <w:pPr>
              <w:jc w:val="center"/>
            </w:pPr>
            <w:r/>
            <w:r>
              <w:rPr>
                <w:sz w:val="20"/>
              </w:rPr>
              <w:t>0.290</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D-dimer</w:t>
            </w:r>
          </w:p>
        </w:tc>
        <w:tc>
          <w:tcPr>
            <w:tcW w:type="dxa" w:w="2494"/>
          </w:tcPr>
          <w:p>
            <w:pPr>
              <w:jc w:val="center"/>
            </w:pPr>
            <w:r/>
            <w:r>
              <w:rPr>
                <w:sz w:val="20"/>
              </w:rPr>
              <w:t>1.13 (0.920–1.380)</w:t>
            </w:r>
          </w:p>
        </w:tc>
        <w:tc>
          <w:tcPr>
            <w:tcW w:type="dxa" w:w="907"/>
          </w:tcPr>
          <w:p>
            <w:pPr>
              <w:jc w:val="center"/>
            </w:pPr>
            <w:r/>
            <w:r>
              <w:rPr>
                <w:sz w:val="20"/>
              </w:rPr>
              <w:t>0.247</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INR</w:t>
            </w:r>
          </w:p>
        </w:tc>
        <w:tc>
          <w:tcPr>
            <w:tcW w:type="dxa" w:w="2494"/>
          </w:tcPr>
          <w:p>
            <w:pPr>
              <w:jc w:val="center"/>
            </w:pPr>
            <w:r/>
            <w:r>
              <w:rPr>
                <w:sz w:val="20"/>
              </w:rPr>
              <w:t>0.09 (0.001–7.670)</w:t>
            </w:r>
          </w:p>
        </w:tc>
        <w:tc>
          <w:tcPr>
            <w:tcW w:type="dxa" w:w="907"/>
          </w:tcPr>
          <w:p>
            <w:pPr>
              <w:jc w:val="center"/>
            </w:pPr>
            <w:r/>
            <w:r>
              <w:rPr>
                <w:sz w:val="20"/>
              </w:rPr>
              <w:t>0.284</w:t>
            </w:r>
          </w:p>
        </w:tc>
        <w:tc>
          <w:tcPr>
            <w:tcW w:type="dxa" w:w="2494"/>
          </w:tcPr>
          <w:p>
            <w:pPr>
              <w:jc w:val="center"/>
            </w:pPr>
            <w:r/>
            <w:r>
              <w:rPr>
                <w:sz w:val="20"/>
              </w:rPr>
              <w:t>—</w:t>
            </w:r>
          </w:p>
        </w:tc>
        <w:tc>
          <w:tcPr>
            <w:tcW w:type="dxa" w:w="907"/>
          </w:tcPr>
          <w:p>
            <w:pPr>
              <w:jc w:val="center"/>
            </w:pPr>
            <w:r/>
            <w:r>
              <w:rPr>
                <w:sz w:val="20"/>
              </w:rPr>
            </w:r>
          </w:p>
        </w:tc>
      </w:tr>
      <w:tr>
        <w:tc>
          <w:tcPr>
            <w:tcW w:type="dxa" w:w="2041"/>
          </w:tcPr>
          <w:p>
            <w:pPr>
              <w:jc w:val="left"/>
            </w:pPr>
            <w:r/>
            <w:r>
              <w:rPr>
                <w:sz w:val="20"/>
              </w:rPr>
              <w:t>Fibrinogen</w:t>
            </w:r>
          </w:p>
        </w:tc>
        <w:tc>
          <w:tcPr>
            <w:tcW w:type="dxa" w:w="2494"/>
          </w:tcPr>
          <w:p>
            <w:pPr>
              <w:jc w:val="center"/>
            </w:pPr>
            <w:r/>
            <w:r>
              <w:rPr>
                <w:sz w:val="20"/>
              </w:rPr>
              <w:t>0.57 (0.386–0.830)</w:t>
            </w:r>
          </w:p>
        </w:tc>
        <w:tc>
          <w:tcPr>
            <w:tcW w:type="dxa" w:w="907"/>
          </w:tcPr>
          <w:p>
            <w:pPr>
              <w:jc w:val="center"/>
            </w:pPr>
            <w:r/>
            <w:r>
              <w:rPr>
                <w:sz w:val="20"/>
              </w:rPr>
              <w:t>0.004</w:t>
            </w:r>
          </w:p>
        </w:tc>
        <w:tc>
          <w:tcPr>
            <w:tcW w:type="dxa" w:w="2494"/>
          </w:tcPr>
          <w:p>
            <w:pPr>
              <w:jc w:val="center"/>
            </w:pPr>
            <w:r/>
            <w:r>
              <w:rPr>
                <w:sz w:val="20"/>
              </w:rPr>
              <w:t>0.65 (0.446–0.947)</w:t>
            </w:r>
          </w:p>
        </w:tc>
        <w:tc>
          <w:tcPr>
            <w:tcW w:type="dxa" w:w="907"/>
          </w:tcPr>
          <w:p>
            <w:pPr>
              <w:jc w:val="center"/>
            </w:pPr>
            <w:r/>
            <w:r>
              <w:rPr>
                <w:sz w:val="20"/>
              </w:rPr>
              <w:t>0.025</w:t>
            </w:r>
          </w:p>
        </w:tc>
      </w:tr>
      <w:tr>
        <w:tc>
          <w:tcPr>
            <w:tcW w:type="dxa" w:w="2041"/>
          </w:tcPr>
          <w:p>
            <w:pPr>
              <w:jc w:val="left"/>
            </w:pPr>
            <w:r/>
            <w:r>
              <w:rPr>
                <w:sz w:val="20"/>
              </w:rPr>
              <w:t>Rad-score</w:t>
            </w:r>
          </w:p>
        </w:tc>
        <w:tc>
          <w:tcPr>
            <w:tcW w:type="dxa" w:w="2494"/>
          </w:tcPr>
          <w:p>
            <w:pPr>
              <w:jc w:val="center"/>
            </w:pPr>
            <w:r/>
            <w:r>
              <w:rPr>
                <w:sz w:val="20"/>
              </w:rPr>
              <w:t>7.96 (2.745–23.105)</w:t>
            </w:r>
          </w:p>
        </w:tc>
        <w:tc>
          <w:tcPr>
            <w:tcW w:type="dxa" w:w="907"/>
          </w:tcPr>
          <w:p>
            <w:pPr>
              <w:jc w:val="center"/>
            </w:pPr>
            <w:r/>
            <w:r>
              <w:rPr>
                <w:sz w:val="20"/>
              </w:rPr>
              <w:t>&lt;0.001</w:t>
            </w:r>
          </w:p>
        </w:tc>
        <w:tc>
          <w:tcPr>
            <w:tcW w:type="dxa" w:w="2494"/>
          </w:tcPr>
          <w:p>
            <w:pPr>
              <w:jc w:val="center"/>
            </w:pPr>
            <w:r/>
            <w:r>
              <w:rPr>
                <w:sz w:val="20"/>
              </w:rPr>
              <w:t>4.73 (1.530–14.632)</w:t>
            </w:r>
          </w:p>
        </w:tc>
        <w:tc>
          <w:tcPr>
            <w:tcW w:type="dxa" w:w="907"/>
          </w:tcPr>
          <w:p>
            <w:pPr>
              <w:jc w:val="center"/>
            </w:pPr>
            <w:r/>
            <w:r>
              <w:rPr>
                <w:sz w:val="20"/>
              </w:rPr>
              <w:t>0.007</w:t>
            </w:r>
          </w:p>
        </w:tc>
      </w:tr>
    </w:tbl>
    <w:p>
      <w:pPr>
        <w:spacing w:before="60"/>
      </w:pPr>
      <w:r>
        <w:rPr>
          <w:i/>
          <w:sz w:val="18"/>
        </w:rPr>
        <w:t>OR, odds ratio; CI, confidence interval. Only variables retained in the multivariable model carry an adjusted estimate; — denotes not retained. Abbreviations as in Table 1; Rad-score, radiomics score.</w:t>
      </w:r>
    </w:p>
    <w:p>
      <w:r>
        <w:br w:type="page"/>
      </w:r>
    </w:p>
    <w:p>
      <w:pPr>
        <w:spacing w:before="80" w:after="80"/>
      </w:pPr>
      <w:r>
        <w:rPr>
          <w:b/>
        </w:rPr>
        <w:t>Table</w:t>
      </w:r>
      <w:r>
        <w:t xml:space="preserve"> 3. Diagnostic performance of the clinical–radiomic nomogram.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041"/>
          </w:tcPr>
          <w:p>
            <w:pPr>
              <w:jc w:val="left"/>
            </w:pPr>
            <w:r/>
            <w:r>
              <w:rPr>
                <w:b/>
                <w:sz w:val="20"/>
              </w:rPr>
              <w:t>Cohort</w:t>
            </w:r>
          </w:p>
        </w:tc>
        <w:tc>
          <w:tcPr>
            <w:tcW w:type="dxa" w:w="1871"/>
          </w:tcPr>
          <w:p>
            <w:pPr>
              <w:jc w:val="center"/>
            </w:pPr>
            <w:r/>
            <w:r>
              <w:rPr>
                <w:b/>
                <w:sz w:val="20"/>
              </w:rPr>
              <w:t>Accuracy</w:t>
            </w:r>
          </w:p>
        </w:tc>
        <w:tc>
          <w:tcPr>
            <w:tcW w:type="dxa" w:w="1871"/>
          </w:tcPr>
          <w:p>
            <w:pPr>
              <w:jc w:val="center"/>
            </w:pPr>
            <w:r/>
            <w:r>
              <w:rPr>
                <w:b/>
                <w:sz w:val="20"/>
              </w:rPr>
              <w:t>Sensitivity</w:t>
            </w:r>
          </w:p>
        </w:tc>
        <w:tc>
          <w:tcPr>
            <w:tcW w:type="dxa" w:w="1871"/>
          </w:tcPr>
          <w:p>
            <w:pPr>
              <w:jc w:val="center"/>
            </w:pPr>
            <w:r/>
            <w:r>
              <w:rPr>
                <w:b/>
                <w:sz w:val="20"/>
              </w:rPr>
              <w:t>Specificity</w:t>
            </w:r>
          </w:p>
        </w:tc>
        <w:tc>
          <w:tcPr>
            <w:tcW w:type="dxa" w:w="1984"/>
          </w:tcPr>
          <w:p>
            <w:pPr>
              <w:jc w:val="center"/>
            </w:pPr>
            <w:r/>
            <w:r>
              <w:rPr>
                <w:b/>
                <w:sz w:val="20"/>
              </w:rPr>
              <w:t>AUC (95% CI)</w:t>
            </w:r>
          </w:p>
        </w:tc>
      </w:tr>
      <w:tr>
        <w:tc>
          <w:tcPr>
            <w:tcW w:type="dxa" w:w="2041"/>
          </w:tcPr>
          <w:p>
            <w:pPr>
              <w:jc w:val="left"/>
            </w:pPr>
            <w:r/>
            <w:r>
              <w:rPr>
                <w:sz w:val="20"/>
              </w:rPr>
              <w:t>Training (n=131)</w:t>
            </w:r>
          </w:p>
        </w:tc>
        <w:tc>
          <w:tcPr>
            <w:tcW w:type="dxa" w:w="1871"/>
          </w:tcPr>
          <w:p>
            <w:pPr>
              <w:jc w:val="center"/>
            </w:pPr>
            <w:r/>
            <w:r>
              <w:rPr>
                <w:sz w:val="20"/>
              </w:rPr>
              <w:t>0.824 (108/131)</w:t>
            </w:r>
          </w:p>
        </w:tc>
        <w:tc>
          <w:tcPr>
            <w:tcW w:type="dxa" w:w="1871"/>
          </w:tcPr>
          <w:p>
            <w:pPr>
              <w:jc w:val="center"/>
            </w:pPr>
            <w:r/>
            <w:r>
              <w:rPr>
                <w:sz w:val="20"/>
              </w:rPr>
              <w:t>0.767 (23/30)</w:t>
            </w:r>
          </w:p>
        </w:tc>
        <w:tc>
          <w:tcPr>
            <w:tcW w:type="dxa" w:w="1871"/>
          </w:tcPr>
          <w:p>
            <w:pPr>
              <w:jc w:val="center"/>
            </w:pPr>
            <w:r/>
            <w:r>
              <w:rPr>
                <w:sz w:val="20"/>
              </w:rPr>
              <w:t>0.842 (85/101)</w:t>
            </w:r>
          </w:p>
        </w:tc>
        <w:tc>
          <w:tcPr>
            <w:tcW w:type="dxa" w:w="1984"/>
          </w:tcPr>
          <w:p>
            <w:pPr>
              <w:jc w:val="center"/>
            </w:pPr>
            <w:r/>
            <w:r>
              <w:rPr>
                <w:sz w:val="20"/>
              </w:rPr>
              <w:t>0.850 (0.775–0.925)</w:t>
            </w:r>
          </w:p>
        </w:tc>
      </w:tr>
      <w:tr>
        <w:tc>
          <w:tcPr>
            <w:tcW w:type="dxa" w:w="2041"/>
          </w:tcPr>
          <w:p>
            <w:pPr>
              <w:jc w:val="left"/>
            </w:pPr>
            <w:r/>
            <w:r>
              <w:rPr>
                <w:sz w:val="20"/>
              </w:rPr>
              <w:t>Validation (n=57)</w:t>
            </w:r>
          </w:p>
        </w:tc>
        <w:tc>
          <w:tcPr>
            <w:tcW w:type="dxa" w:w="1871"/>
          </w:tcPr>
          <w:p>
            <w:pPr>
              <w:jc w:val="center"/>
            </w:pPr>
            <w:r/>
            <w:r>
              <w:rPr>
                <w:sz w:val="20"/>
              </w:rPr>
              <w:t>0.684 (39/57)</w:t>
            </w:r>
          </w:p>
        </w:tc>
        <w:tc>
          <w:tcPr>
            <w:tcW w:type="dxa" w:w="1871"/>
          </w:tcPr>
          <w:p>
            <w:pPr>
              <w:jc w:val="center"/>
            </w:pPr>
            <w:r/>
            <w:r>
              <w:rPr>
                <w:sz w:val="20"/>
              </w:rPr>
              <w:t>0.750 (9/12)</w:t>
            </w:r>
          </w:p>
        </w:tc>
        <w:tc>
          <w:tcPr>
            <w:tcW w:type="dxa" w:w="1871"/>
          </w:tcPr>
          <w:p>
            <w:pPr>
              <w:jc w:val="center"/>
            </w:pPr>
            <w:r/>
            <w:r>
              <w:rPr>
                <w:sz w:val="20"/>
              </w:rPr>
              <w:t>0.667 (30/45)</w:t>
            </w:r>
          </w:p>
        </w:tc>
        <w:tc>
          <w:tcPr>
            <w:tcW w:type="dxa" w:w="1984"/>
          </w:tcPr>
          <w:p>
            <w:pPr>
              <w:jc w:val="center"/>
            </w:pPr>
            <w:r/>
            <w:r>
              <w:rPr>
                <w:sz w:val="20"/>
              </w:rPr>
              <w:t>0.794 (0.631–0.958)</w:t>
            </w:r>
          </w:p>
        </w:tc>
      </w:tr>
    </w:tbl>
    <w:p>
      <w:pPr>
        <w:spacing w:before="60"/>
      </w:pPr>
      <w:r>
        <w:rPr>
          <w:i/>
          <w:sz w:val="18"/>
        </w:rPr>
        <w:t>Accuracy, sensitivity and specificity were obtained at an estimated-probability cut-point of 0.255, derived from the maximum Youden index in the training cohort and applied unchanged to the validation cohort. AUC, area under the receiver operating characteristic curve.</w:t>
      </w:r>
    </w:p>
    <w:p>
      <w:r>
        <w:br w:type="page"/>
      </w:r>
    </w:p>
    <w:p>
      <w:pPr>
        <w:spacing w:before="80" w:after="80"/>
      </w:pPr>
      <w:r>
        <w:rPr>
          <w:b/>
        </w:rPr>
        <w:t>Table</w:t>
      </w:r>
      <w:r>
        <w:t xml:space="preserve"> 4. Distribution of the Rad-score by presentation group.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tcPr>
          <w:p>
            <w:pPr>
              <w:jc w:val="left"/>
            </w:pPr>
            <w:r/>
            <w:r>
              <w:rPr>
                <w:b/>
                <w:sz w:val="20"/>
              </w:rPr>
              <w:t>Cohort</w:t>
            </w:r>
          </w:p>
        </w:tc>
        <w:tc>
          <w:tcPr>
            <w:tcW w:type="dxa" w:w="3061"/>
          </w:tcPr>
          <w:p>
            <w:pPr>
              <w:jc w:val="center"/>
            </w:pPr>
            <w:r/>
            <w:r>
              <w:rPr>
                <w:b/>
                <w:sz w:val="20"/>
              </w:rPr>
              <w:t>Group</w:t>
            </w:r>
          </w:p>
        </w:tc>
        <w:tc>
          <w:tcPr>
            <w:tcW w:type="dxa" w:w="794"/>
          </w:tcPr>
          <w:p>
            <w:pPr>
              <w:jc w:val="center"/>
            </w:pPr>
            <w:r/>
            <w:r>
              <w:rPr>
                <w:b/>
                <w:sz w:val="20"/>
              </w:rPr>
              <w:t>n</w:t>
            </w:r>
          </w:p>
        </w:tc>
        <w:tc>
          <w:tcPr>
            <w:tcW w:type="dxa" w:w="3175"/>
          </w:tcPr>
          <w:p>
            <w:pPr>
              <w:jc w:val="center"/>
            </w:pPr>
            <w:r/>
            <w:r>
              <w:rPr>
                <w:b/>
                <w:sz w:val="20"/>
              </w:rPr>
              <w:t>Median (Q1, Q3)</w:t>
            </w:r>
          </w:p>
        </w:tc>
        <w:tc>
          <w:tcPr>
            <w:tcW w:type="dxa" w:w="1134"/>
          </w:tcPr>
          <w:p>
            <w:pPr>
              <w:jc w:val="center"/>
            </w:pPr>
            <w:r/>
            <w:r>
              <w:rPr>
                <w:b/>
                <w:sz w:val="20"/>
              </w:rPr>
              <w:t>P</w:t>
            </w:r>
          </w:p>
        </w:tc>
      </w:tr>
      <w:tr>
        <w:tc>
          <w:tcPr>
            <w:tcW w:type="dxa" w:w="1474"/>
          </w:tcPr>
          <w:p>
            <w:pPr>
              <w:jc w:val="left"/>
            </w:pPr>
            <w:r/>
            <w:r>
              <w:rPr>
                <w:sz w:val="20"/>
              </w:rPr>
              <w:t>Training</w:t>
            </w:r>
          </w:p>
        </w:tc>
        <w:tc>
          <w:tcPr>
            <w:tcW w:type="dxa" w:w="3061"/>
          </w:tcPr>
          <w:p>
            <w:pPr>
              <w:jc w:val="center"/>
            </w:pPr>
            <w:r/>
            <w:r>
              <w:rPr>
                <w:sz w:val="20"/>
              </w:rPr>
              <w:t>Non-massive haemoptysis</w:t>
            </w:r>
          </w:p>
        </w:tc>
        <w:tc>
          <w:tcPr>
            <w:tcW w:type="dxa" w:w="794"/>
          </w:tcPr>
          <w:p>
            <w:pPr>
              <w:jc w:val="center"/>
            </w:pPr>
            <w:r/>
            <w:r>
              <w:rPr>
                <w:sz w:val="20"/>
              </w:rPr>
              <w:t>101</w:t>
            </w:r>
          </w:p>
        </w:tc>
        <w:tc>
          <w:tcPr>
            <w:tcW w:type="dxa" w:w="3175"/>
          </w:tcPr>
          <w:p>
            <w:pPr>
              <w:jc w:val="center"/>
            </w:pPr>
            <w:r/>
            <w:r>
              <w:rPr>
                <w:sz w:val="20"/>
              </w:rPr>
              <w:t>−1.361 (−1.640, −1.062)</w:t>
            </w:r>
          </w:p>
        </w:tc>
        <w:tc>
          <w:tcPr>
            <w:tcW w:type="dxa" w:w="1134"/>
          </w:tcPr>
          <w:p>
            <w:pPr>
              <w:jc w:val="center"/>
            </w:pPr>
            <w:r/>
            <w:r>
              <w:rPr>
                <w:sz w:val="20"/>
              </w:rPr>
              <w:t>1.49×10⁻⁵</w:t>
            </w:r>
          </w:p>
        </w:tc>
      </w:tr>
      <w:tr>
        <w:tc>
          <w:tcPr>
            <w:tcW w:type="dxa" w:w="1474"/>
          </w:tcPr>
          <w:p>
            <w:pPr>
              <w:jc w:val="left"/>
            </w:pPr>
            <w:r/>
            <w:r>
              <w:rPr>
                <w:sz w:val="20"/>
              </w:rPr>
            </w:r>
          </w:p>
        </w:tc>
        <w:tc>
          <w:tcPr>
            <w:tcW w:type="dxa" w:w="3061"/>
          </w:tcPr>
          <w:p>
            <w:pPr>
              <w:jc w:val="center"/>
            </w:pPr>
            <w:r/>
            <w:r>
              <w:rPr>
                <w:sz w:val="20"/>
              </w:rPr>
              <w:t>Massive haemoptysis</w:t>
            </w:r>
          </w:p>
        </w:tc>
        <w:tc>
          <w:tcPr>
            <w:tcW w:type="dxa" w:w="794"/>
          </w:tcPr>
          <w:p>
            <w:pPr>
              <w:jc w:val="center"/>
            </w:pPr>
            <w:r/>
            <w:r>
              <w:rPr>
                <w:sz w:val="20"/>
              </w:rPr>
              <w:t>30</w:t>
            </w:r>
          </w:p>
        </w:tc>
        <w:tc>
          <w:tcPr>
            <w:tcW w:type="dxa" w:w="3175"/>
          </w:tcPr>
          <w:p>
            <w:pPr>
              <w:jc w:val="center"/>
            </w:pPr>
            <w:r/>
            <w:r>
              <w:rPr>
                <w:sz w:val="20"/>
              </w:rPr>
              <w:t>−1.043 (−1.189, −0.706)</w:t>
            </w:r>
          </w:p>
        </w:tc>
        <w:tc>
          <w:tcPr>
            <w:tcW w:type="dxa" w:w="1134"/>
          </w:tcPr>
          <w:p>
            <w:pPr>
              <w:jc w:val="center"/>
            </w:pPr>
            <w:r/>
            <w:r>
              <w:rPr>
                <w:sz w:val="20"/>
              </w:rPr>
            </w:r>
          </w:p>
        </w:tc>
      </w:tr>
      <w:tr>
        <w:tc>
          <w:tcPr>
            <w:tcW w:type="dxa" w:w="1474"/>
          </w:tcPr>
          <w:p>
            <w:pPr>
              <w:jc w:val="left"/>
            </w:pPr>
            <w:r/>
            <w:r>
              <w:rPr>
                <w:sz w:val="20"/>
              </w:rPr>
              <w:t>Validation</w:t>
            </w:r>
          </w:p>
        </w:tc>
        <w:tc>
          <w:tcPr>
            <w:tcW w:type="dxa" w:w="3061"/>
          </w:tcPr>
          <w:p>
            <w:pPr>
              <w:jc w:val="center"/>
            </w:pPr>
            <w:r/>
            <w:r>
              <w:rPr>
                <w:sz w:val="20"/>
              </w:rPr>
              <w:t>Non-massive haemoptysis</w:t>
            </w:r>
          </w:p>
        </w:tc>
        <w:tc>
          <w:tcPr>
            <w:tcW w:type="dxa" w:w="794"/>
          </w:tcPr>
          <w:p>
            <w:pPr>
              <w:jc w:val="center"/>
            </w:pPr>
            <w:r/>
            <w:r>
              <w:rPr>
                <w:sz w:val="20"/>
              </w:rPr>
              <w:t>45</w:t>
            </w:r>
          </w:p>
        </w:tc>
        <w:tc>
          <w:tcPr>
            <w:tcW w:type="dxa" w:w="3175"/>
          </w:tcPr>
          <w:p>
            <w:pPr>
              <w:jc w:val="center"/>
            </w:pPr>
            <w:r/>
            <w:r>
              <w:rPr>
                <w:sz w:val="20"/>
              </w:rPr>
              <w:t>−1.189 (−1.523, −0.954)</w:t>
            </w:r>
          </w:p>
        </w:tc>
        <w:tc>
          <w:tcPr>
            <w:tcW w:type="dxa" w:w="1134"/>
          </w:tcPr>
          <w:p>
            <w:pPr>
              <w:jc w:val="center"/>
            </w:pPr>
            <w:r/>
            <w:r>
              <w:rPr>
                <w:sz w:val="20"/>
              </w:rPr>
              <w:t>0.122</w:t>
            </w:r>
          </w:p>
        </w:tc>
      </w:tr>
      <w:tr>
        <w:tc>
          <w:tcPr>
            <w:tcW w:type="dxa" w:w="1474"/>
          </w:tcPr>
          <w:p>
            <w:pPr>
              <w:jc w:val="left"/>
            </w:pPr>
            <w:r/>
            <w:r>
              <w:rPr>
                <w:sz w:val="20"/>
              </w:rPr>
            </w:r>
          </w:p>
        </w:tc>
        <w:tc>
          <w:tcPr>
            <w:tcW w:type="dxa" w:w="3061"/>
          </w:tcPr>
          <w:p>
            <w:pPr>
              <w:jc w:val="center"/>
            </w:pPr>
            <w:r/>
            <w:r>
              <w:rPr>
                <w:sz w:val="20"/>
              </w:rPr>
              <w:t>Massive haemoptysis</w:t>
            </w:r>
          </w:p>
        </w:tc>
        <w:tc>
          <w:tcPr>
            <w:tcW w:type="dxa" w:w="794"/>
          </w:tcPr>
          <w:p>
            <w:pPr>
              <w:jc w:val="center"/>
            </w:pPr>
            <w:r/>
            <w:r>
              <w:rPr>
                <w:sz w:val="20"/>
              </w:rPr>
              <w:t>12</w:t>
            </w:r>
          </w:p>
        </w:tc>
        <w:tc>
          <w:tcPr>
            <w:tcW w:type="dxa" w:w="3175"/>
          </w:tcPr>
          <w:p>
            <w:pPr>
              <w:jc w:val="center"/>
            </w:pPr>
            <w:r/>
            <w:r>
              <w:rPr>
                <w:sz w:val="20"/>
              </w:rPr>
              <w:t>−1.029 (−1.275, −0.596)</w:t>
            </w:r>
          </w:p>
        </w:tc>
        <w:tc>
          <w:tcPr>
            <w:tcW w:type="dxa" w:w="1134"/>
          </w:tcPr>
          <w:p>
            <w:pPr>
              <w:jc w:val="center"/>
            </w:pPr>
            <w:r/>
            <w:r>
              <w:rPr>
                <w:sz w:val="20"/>
              </w:rPr>
            </w:r>
          </w:p>
        </w:tc>
      </w:tr>
    </w:tbl>
    <w:p>
      <w:pPr>
        <w:spacing w:before="60"/>
      </w:pPr>
      <w:r>
        <w:rPr>
          <w:i/>
          <w:sz w:val="18"/>
        </w:rPr>
        <w:t>Groups were compared with the Mann–Whitney U test. Q1, first quartile; Q3, third quartile.</w:t>
      </w:r>
    </w:p>
    <w:p>
      <w:r>
        <w:br w:type="page"/>
      </w:r>
    </w:p>
    <w:p>
      <w:pPr>
        <w:spacing w:before="80" w:after="80"/>
      </w:pPr>
      <w:r>
        <w:rPr>
          <w:b/>
        </w:rPr>
        <w:t>Table</w:t>
      </w:r>
      <w:r>
        <w:t xml:space="preserve"> 5. Discrimination of the three models and pairwise comparison (DeLong test), by cohort.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61"/>
          </w:tcPr>
          <w:p>
            <w:pPr>
              <w:jc w:val="left"/>
            </w:pPr>
            <w:r/>
            <w:r>
              <w:rPr>
                <w:b/>
                <w:sz w:val="20"/>
              </w:rPr>
              <w:t>Cohort</w:t>
            </w:r>
          </w:p>
        </w:tc>
        <w:tc>
          <w:tcPr>
            <w:tcW w:type="dxa" w:w="2721"/>
          </w:tcPr>
          <w:p>
            <w:pPr>
              <w:jc w:val="center"/>
            </w:pPr>
            <w:r/>
            <w:r>
              <w:rPr>
                <w:b/>
                <w:sz w:val="20"/>
              </w:rPr>
              <w:t>Comparison</w:t>
            </w:r>
          </w:p>
        </w:tc>
        <w:tc>
          <w:tcPr>
            <w:tcW w:type="dxa" w:w="1644"/>
          </w:tcPr>
          <w:p>
            <w:pPr>
              <w:jc w:val="center"/>
            </w:pPr>
            <w:r/>
            <w:r>
              <w:rPr>
                <w:b/>
                <w:sz w:val="20"/>
              </w:rPr>
              <w:t>AUC (Model 1)</w:t>
            </w:r>
          </w:p>
        </w:tc>
        <w:tc>
          <w:tcPr>
            <w:tcW w:type="dxa" w:w="1644"/>
          </w:tcPr>
          <w:p>
            <w:pPr>
              <w:jc w:val="center"/>
            </w:pPr>
            <w:r/>
            <w:r>
              <w:rPr>
                <w:b/>
                <w:sz w:val="20"/>
              </w:rPr>
              <w:t>AUC (Model 2)</w:t>
            </w:r>
          </w:p>
        </w:tc>
        <w:tc>
          <w:tcPr>
            <w:tcW w:type="dxa" w:w="1020"/>
          </w:tcPr>
          <w:p>
            <w:pPr>
              <w:jc w:val="center"/>
            </w:pPr>
            <w:r/>
            <w:r>
              <w:rPr>
                <w:b/>
                <w:sz w:val="20"/>
              </w:rPr>
              <w:t>Z</w:t>
            </w:r>
          </w:p>
        </w:tc>
        <w:tc>
          <w:tcPr>
            <w:tcW w:type="dxa" w:w="1247"/>
          </w:tcPr>
          <w:p>
            <w:pPr>
              <w:jc w:val="center"/>
            </w:pPr>
            <w:r/>
            <w:r>
              <w:rPr>
                <w:b/>
                <w:sz w:val="20"/>
              </w:rPr>
              <w:t>P</w:t>
            </w:r>
          </w:p>
        </w:tc>
      </w:tr>
      <w:tr>
        <w:tc>
          <w:tcPr>
            <w:tcW w:type="dxa" w:w="1361"/>
          </w:tcPr>
          <w:p>
            <w:pPr>
              <w:jc w:val="left"/>
            </w:pPr>
            <w:r/>
            <w:r>
              <w:rPr>
                <w:sz w:val="20"/>
              </w:rPr>
              <w:t>Training</w:t>
            </w:r>
          </w:p>
        </w:tc>
        <w:tc>
          <w:tcPr>
            <w:tcW w:type="dxa" w:w="2721"/>
          </w:tcPr>
          <w:p>
            <w:pPr>
              <w:jc w:val="center"/>
            </w:pPr>
            <w:r/>
            <w:r>
              <w:rPr>
                <w:sz w:val="20"/>
              </w:rPr>
              <w:t>Combined vs. Rad-score</w:t>
            </w:r>
          </w:p>
        </w:tc>
        <w:tc>
          <w:tcPr>
            <w:tcW w:type="dxa" w:w="1644"/>
          </w:tcPr>
          <w:p>
            <w:pPr>
              <w:jc w:val="center"/>
            </w:pPr>
            <w:r/>
            <w:r>
              <w:rPr>
                <w:sz w:val="20"/>
              </w:rPr>
              <w:t>0.850</w:t>
            </w:r>
          </w:p>
        </w:tc>
        <w:tc>
          <w:tcPr>
            <w:tcW w:type="dxa" w:w="1644"/>
          </w:tcPr>
          <w:p>
            <w:pPr>
              <w:jc w:val="center"/>
            </w:pPr>
            <w:r/>
            <w:r>
              <w:rPr>
                <w:sz w:val="20"/>
              </w:rPr>
              <w:t>0.761</w:t>
            </w:r>
          </w:p>
        </w:tc>
        <w:tc>
          <w:tcPr>
            <w:tcW w:type="dxa" w:w="1020"/>
          </w:tcPr>
          <w:p>
            <w:pPr>
              <w:jc w:val="center"/>
            </w:pPr>
            <w:r/>
            <w:r>
              <w:rPr>
                <w:sz w:val="20"/>
              </w:rPr>
              <w:t>2.058</w:t>
            </w:r>
          </w:p>
        </w:tc>
        <w:tc>
          <w:tcPr>
            <w:tcW w:type="dxa" w:w="1247"/>
          </w:tcPr>
          <w:p>
            <w:pPr>
              <w:jc w:val="center"/>
            </w:pPr>
            <w:r/>
            <w:r>
              <w:rPr>
                <w:sz w:val="20"/>
              </w:rPr>
              <w:t>0.040</w:t>
            </w:r>
          </w:p>
        </w:tc>
      </w:tr>
      <w:tr>
        <w:tc>
          <w:tcPr>
            <w:tcW w:type="dxa" w:w="1361"/>
          </w:tcPr>
          <w:p>
            <w:pPr>
              <w:jc w:val="left"/>
            </w:pPr>
            <w:r/>
            <w:r>
              <w:rPr>
                <w:sz w:val="20"/>
              </w:rPr>
            </w:r>
          </w:p>
        </w:tc>
        <w:tc>
          <w:tcPr>
            <w:tcW w:type="dxa" w:w="2721"/>
          </w:tcPr>
          <w:p>
            <w:pPr>
              <w:jc w:val="center"/>
            </w:pPr>
            <w:r/>
            <w:r>
              <w:rPr>
                <w:sz w:val="20"/>
              </w:rPr>
              <w:t>Combined vs. Clinical</w:t>
            </w:r>
          </w:p>
        </w:tc>
        <w:tc>
          <w:tcPr>
            <w:tcW w:type="dxa" w:w="1644"/>
          </w:tcPr>
          <w:p>
            <w:pPr>
              <w:jc w:val="center"/>
            </w:pPr>
            <w:r/>
            <w:r>
              <w:rPr>
                <w:sz w:val="20"/>
              </w:rPr>
              <w:t>0.850</w:t>
            </w:r>
          </w:p>
        </w:tc>
        <w:tc>
          <w:tcPr>
            <w:tcW w:type="dxa" w:w="1644"/>
          </w:tcPr>
          <w:p>
            <w:pPr>
              <w:jc w:val="center"/>
            </w:pPr>
            <w:r/>
            <w:r>
              <w:rPr>
                <w:sz w:val="20"/>
              </w:rPr>
              <w:t>0.796</w:t>
            </w:r>
          </w:p>
        </w:tc>
        <w:tc>
          <w:tcPr>
            <w:tcW w:type="dxa" w:w="1020"/>
          </w:tcPr>
          <w:p>
            <w:pPr>
              <w:jc w:val="center"/>
            </w:pPr>
            <w:r/>
            <w:r>
              <w:rPr>
                <w:sz w:val="20"/>
              </w:rPr>
              <w:t>1.841</w:t>
            </w:r>
          </w:p>
        </w:tc>
        <w:tc>
          <w:tcPr>
            <w:tcW w:type="dxa" w:w="1247"/>
          </w:tcPr>
          <w:p>
            <w:pPr>
              <w:jc w:val="center"/>
            </w:pPr>
            <w:r/>
            <w:r>
              <w:rPr>
                <w:sz w:val="20"/>
              </w:rPr>
              <w:t>0.066</w:t>
            </w:r>
          </w:p>
        </w:tc>
      </w:tr>
      <w:tr>
        <w:tc>
          <w:tcPr>
            <w:tcW w:type="dxa" w:w="1361"/>
          </w:tcPr>
          <w:p>
            <w:pPr>
              <w:jc w:val="left"/>
            </w:pPr>
            <w:r/>
            <w:r>
              <w:rPr>
                <w:sz w:val="20"/>
              </w:rPr>
            </w:r>
          </w:p>
        </w:tc>
        <w:tc>
          <w:tcPr>
            <w:tcW w:type="dxa" w:w="2721"/>
          </w:tcPr>
          <w:p>
            <w:pPr>
              <w:jc w:val="center"/>
            </w:pPr>
            <w:r/>
            <w:r>
              <w:rPr>
                <w:sz w:val="20"/>
              </w:rPr>
              <w:t>Rad-score vs. Clinical</w:t>
            </w:r>
          </w:p>
        </w:tc>
        <w:tc>
          <w:tcPr>
            <w:tcW w:type="dxa" w:w="1644"/>
          </w:tcPr>
          <w:p>
            <w:pPr>
              <w:jc w:val="center"/>
            </w:pPr>
            <w:r/>
            <w:r>
              <w:rPr>
                <w:sz w:val="20"/>
              </w:rPr>
              <w:t>0.761</w:t>
            </w:r>
          </w:p>
        </w:tc>
        <w:tc>
          <w:tcPr>
            <w:tcW w:type="dxa" w:w="1644"/>
          </w:tcPr>
          <w:p>
            <w:pPr>
              <w:jc w:val="center"/>
            </w:pPr>
            <w:r/>
            <w:r>
              <w:rPr>
                <w:sz w:val="20"/>
              </w:rPr>
              <w:t>0.796</w:t>
            </w:r>
          </w:p>
        </w:tc>
        <w:tc>
          <w:tcPr>
            <w:tcW w:type="dxa" w:w="1020"/>
          </w:tcPr>
          <w:p>
            <w:pPr>
              <w:jc w:val="center"/>
            </w:pPr>
            <w:r/>
            <w:r>
              <w:rPr>
                <w:sz w:val="20"/>
              </w:rPr>
              <w:t>−0.514</w:t>
            </w:r>
          </w:p>
        </w:tc>
        <w:tc>
          <w:tcPr>
            <w:tcW w:type="dxa" w:w="1247"/>
          </w:tcPr>
          <w:p>
            <w:pPr>
              <w:jc w:val="center"/>
            </w:pPr>
            <w:r/>
            <w:r>
              <w:rPr>
                <w:sz w:val="20"/>
              </w:rPr>
              <w:t>0.608</w:t>
            </w:r>
          </w:p>
        </w:tc>
      </w:tr>
      <w:tr>
        <w:tc>
          <w:tcPr>
            <w:tcW w:type="dxa" w:w="1361"/>
          </w:tcPr>
          <w:p>
            <w:pPr>
              <w:jc w:val="left"/>
            </w:pPr>
            <w:r/>
            <w:r>
              <w:rPr>
                <w:sz w:val="20"/>
              </w:rPr>
              <w:t>Validation</w:t>
            </w:r>
          </w:p>
        </w:tc>
        <w:tc>
          <w:tcPr>
            <w:tcW w:type="dxa" w:w="2721"/>
          </w:tcPr>
          <w:p>
            <w:pPr>
              <w:jc w:val="center"/>
            </w:pPr>
            <w:r/>
            <w:r>
              <w:rPr>
                <w:sz w:val="20"/>
              </w:rPr>
              <w:t>Combined vs. Rad-score</w:t>
            </w:r>
          </w:p>
        </w:tc>
        <w:tc>
          <w:tcPr>
            <w:tcW w:type="dxa" w:w="1644"/>
          </w:tcPr>
          <w:p>
            <w:pPr>
              <w:jc w:val="center"/>
            </w:pPr>
            <w:r/>
            <w:r>
              <w:rPr>
                <w:sz w:val="20"/>
              </w:rPr>
              <w:t>0.794</w:t>
            </w:r>
          </w:p>
        </w:tc>
        <w:tc>
          <w:tcPr>
            <w:tcW w:type="dxa" w:w="1644"/>
          </w:tcPr>
          <w:p>
            <w:pPr>
              <w:jc w:val="center"/>
            </w:pPr>
            <w:r/>
            <w:r>
              <w:rPr>
                <w:sz w:val="20"/>
              </w:rPr>
              <w:t>0.647</w:t>
            </w:r>
          </w:p>
        </w:tc>
        <w:tc>
          <w:tcPr>
            <w:tcW w:type="dxa" w:w="1020"/>
          </w:tcPr>
          <w:p>
            <w:pPr>
              <w:jc w:val="center"/>
            </w:pPr>
            <w:r/>
            <w:r>
              <w:rPr>
                <w:sz w:val="20"/>
              </w:rPr>
              <w:t>1.373</w:t>
            </w:r>
          </w:p>
        </w:tc>
        <w:tc>
          <w:tcPr>
            <w:tcW w:type="dxa" w:w="1247"/>
          </w:tcPr>
          <w:p>
            <w:pPr>
              <w:jc w:val="center"/>
            </w:pPr>
            <w:r/>
            <w:r>
              <w:rPr>
                <w:sz w:val="20"/>
              </w:rPr>
              <w:t>0.170</w:t>
            </w:r>
          </w:p>
        </w:tc>
      </w:tr>
      <w:tr>
        <w:tc>
          <w:tcPr>
            <w:tcW w:type="dxa" w:w="1361"/>
          </w:tcPr>
          <w:p>
            <w:pPr>
              <w:jc w:val="left"/>
            </w:pPr>
            <w:r/>
            <w:r>
              <w:rPr>
                <w:sz w:val="20"/>
              </w:rPr>
            </w:r>
          </w:p>
        </w:tc>
        <w:tc>
          <w:tcPr>
            <w:tcW w:type="dxa" w:w="2721"/>
          </w:tcPr>
          <w:p>
            <w:pPr>
              <w:jc w:val="center"/>
            </w:pPr>
            <w:r/>
            <w:r>
              <w:rPr>
                <w:sz w:val="20"/>
              </w:rPr>
              <w:t>Combined vs. Clinical</w:t>
            </w:r>
          </w:p>
        </w:tc>
        <w:tc>
          <w:tcPr>
            <w:tcW w:type="dxa" w:w="1644"/>
          </w:tcPr>
          <w:p>
            <w:pPr>
              <w:jc w:val="center"/>
            </w:pPr>
            <w:r/>
            <w:r>
              <w:rPr>
                <w:sz w:val="20"/>
              </w:rPr>
              <w:t>0.794</w:t>
            </w:r>
          </w:p>
        </w:tc>
        <w:tc>
          <w:tcPr>
            <w:tcW w:type="dxa" w:w="1644"/>
          </w:tcPr>
          <w:p>
            <w:pPr>
              <w:jc w:val="center"/>
            </w:pPr>
            <w:r/>
            <w:r>
              <w:rPr>
                <w:sz w:val="20"/>
              </w:rPr>
              <w:t>0.744</w:t>
            </w:r>
          </w:p>
        </w:tc>
        <w:tc>
          <w:tcPr>
            <w:tcW w:type="dxa" w:w="1020"/>
          </w:tcPr>
          <w:p>
            <w:pPr>
              <w:jc w:val="center"/>
            </w:pPr>
            <w:r/>
            <w:r>
              <w:rPr>
                <w:sz w:val="20"/>
              </w:rPr>
              <w:t>0.967</w:t>
            </w:r>
          </w:p>
        </w:tc>
        <w:tc>
          <w:tcPr>
            <w:tcW w:type="dxa" w:w="1247"/>
          </w:tcPr>
          <w:p>
            <w:pPr>
              <w:jc w:val="center"/>
            </w:pPr>
            <w:r/>
            <w:r>
              <w:rPr>
                <w:sz w:val="20"/>
              </w:rPr>
              <w:t>0.333</w:t>
            </w:r>
          </w:p>
        </w:tc>
      </w:tr>
      <w:tr>
        <w:tc>
          <w:tcPr>
            <w:tcW w:type="dxa" w:w="1361"/>
          </w:tcPr>
          <w:p>
            <w:pPr>
              <w:jc w:val="left"/>
            </w:pPr>
            <w:r/>
            <w:r>
              <w:rPr>
                <w:sz w:val="20"/>
              </w:rPr>
            </w:r>
          </w:p>
        </w:tc>
        <w:tc>
          <w:tcPr>
            <w:tcW w:type="dxa" w:w="2721"/>
          </w:tcPr>
          <w:p>
            <w:pPr>
              <w:jc w:val="center"/>
            </w:pPr>
            <w:r/>
            <w:r>
              <w:rPr>
                <w:sz w:val="20"/>
              </w:rPr>
              <w:t>Rad-score vs. Clinical</w:t>
            </w:r>
          </w:p>
        </w:tc>
        <w:tc>
          <w:tcPr>
            <w:tcW w:type="dxa" w:w="1644"/>
          </w:tcPr>
          <w:p>
            <w:pPr>
              <w:jc w:val="center"/>
            </w:pPr>
            <w:r/>
            <w:r>
              <w:rPr>
                <w:sz w:val="20"/>
              </w:rPr>
              <w:t>0.647</w:t>
            </w:r>
          </w:p>
        </w:tc>
        <w:tc>
          <w:tcPr>
            <w:tcW w:type="dxa" w:w="1644"/>
          </w:tcPr>
          <w:p>
            <w:pPr>
              <w:jc w:val="center"/>
            </w:pPr>
            <w:r/>
            <w:r>
              <w:rPr>
                <w:sz w:val="20"/>
              </w:rPr>
              <w:t>0.744</w:t>
            </w:r>
          </w:p>
        </w:tc>
        <w:tc>
          <w:tcPr>
            <w:tcW w:type="dxa" w:w="1020"/>
          </w:tcPr>
          <w:p>
            <w:pPr>
              <w:jc w:val="center"/>
            </w:pPr>
            <w:r/>
            <w:r>
              <w:rPr>
                <w:sz w:val="20"/>
              </w:rPr>
              <w:t>−0.665</w:t>
            </w:r>
          </w:p>
        </w:tc>
        <w:tc>
          <w:tcPr>
            <w:tcW w:type="dxa" w:w="1247"/>
          </w:tcPr>
          <w:p>
            <w:pPr>
              <w:jc w:val="center"/>
            </w:pPr>
            <w:r/>
            <w:r>
              <w:rPr>
                <w:sz w:val="20"/>
              </w:rPr>
              <w:t>0.506</w:t>
            </w:r>
          </w:p>
        </w:tc>
      </w:tr>
    </w:tbl>
    <w:p>
      <w:pPr>
        <w:spacing w:before="60"/>
      </w:pPr>
      <w:r>
        <w:rPr>
          <w:i/>
          <w:sz w:val="18"/>
        </w:rPr>
        <w:t>Model AUCs with 95% CIs — training: combined 0.850 (0.775–0.925), clinical 0.796 (0.693–0.898), Rad-score 0.761 (0.672–0.850); validation: combined 0.794 (0.631–0.958), clinical 0.744 (0.555–0.934), Rad-score 0.647 (0.456–0.839). Combined model = Rad-score + tuberculosis + BAA + fibrinogen; clinical model = tuberculosis + BAA + fibrinogen. With three comparisons per cohort, a Bonferroni-corrected threshold is P=0.0167.</w:t>
      </w:r>
    </w:p>
    <w:p>
      <w:r>
        <w:br w:type="page"/>
      </w:r>
    </w:p>
    <w:p>
      <w:pPr>
        <w:spacing w:before="80" w:after="80"/>
      </w:pPr>
      <w:r>
        <w:rPr>
          <w:b/>
        </w:rPr>
        <w:t>Table</w:t>
      </w:r>
      <w:r>
        <w:t xml:space="preserve"> 6. Continuous NRI and IDI of the combined model versus the clinical model.</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tcPr>
          <w:p>
            <w:pPr>
              <w:jc w:val="left"/>
            </w:pPr>
            <w:r/>
            <w:r>
              <w:rPr>
                <w:b/>
                <w:sz w:val="20"/>
              </w:rPr>
              <w:t>Cohort</w:t>
            </w:r>
          </w:p>
        </w:tc>
        <w:tc>
          <w:tcPr>
            <w:tcW w:type="dxa" w:w="2494"/>
          </w:tcPr>
          <w:p>
            <w:pPr>
              <w:jc w:val="center"/>
            </w:pPr>
            <w:r/>
            <w:r>
              <w:rPr>
                <w:b/>
                <w:sz w:val="20"/>
              </w:rPr>
              <w:t>NRI (95% CI)</w:t>
            </w:r>
          </w:p>
        </w:tc>
        <w:tc>
          <w:tcPr>
            <w:tcW w:type="dxa" w:w="907"/>
          </w:tcPr>
          <w:p>
            <w:pPr>
              <w:jc w:val="center"/>
            </w:pPr>
            <w:r/>
            <w:r>
              <w:rPr>
                <w:b/>
                <w:sz w:val="20"/>
              </w:rPr>
              <w:t>P</w:t>
            </w:r>
          </w:p>
        </w:tc>
        <w:tc>
          <w:tcPr>
            <w:tcW w:type="dxa" w:w="2494"/>
          </w:tcPr>
          <w:p>
            <w:pPr>
              <w:jc w:val="center"/>
            </w:pPr>
            <w:r/>
            <w:r>
              <w:rPr>
                <w:b/>
                <w:sz w:val="20"/>
              </w:rPr>
              <w:t>IDI (95% CI)</w:t>
            </w:r>
          </w:p>
        </w:tc>
        <w:tc>
          <w:tcPr>
            <w:tcW w:type="dxa" w:w="907"/>
          </w:tcPr>
          <w:p>
            <w:pPr>
              <w:jc w:val="center"/>
            </w:pPr>
            <w:r/>
            <w:r>
              <w:rPr>
                <w:b/>
                <w:sz w:val="20"/>
              </w:rPr>
              <w:t>P</w:t>
            </w:r>
          </w:p>
        </w:tc>
      </w:tr>
      <w:tr>
        <w:tc>
          <w:tcPr>
            <w:tcW w:type="dxa" w:w="1587"/>
          </w:tcPr>
          <w:p>
            <w:pPr>
              <w:jc w:val="left"/>
            </w:pPr>
            <w:r/>
            <w:r>
              <w:rPr>
                <w:sz w:val="20"/>
              </w:rPr>
              <w:t>Training</w:t>
            </w:r>
          </w:p>
        </w:tc>
        <w:tc>
          <w:tcPr>
            <w:tcW w:type="dxa" w:w="2494"/>
          </w:tcPr>
          <w:p>
            <w:pPr>
              <w:jc w:val="center"/>
            </w:pPr>
            <w:r/>
            <w:r>
              <w:rPr>
                <w:sz w:val="20"/>
              </w:rPr>
              <w:t>0.428 (0.029, 0.827)</w:t>
            </w:r>
          </w:p>
        </w:tc>
        <w:tc>
          <w:tcPr>
            <w:tcW w:type="dxa" w:w="907"/>
          </w:tcPr>
          <w:p>
            <w:pPr>
              <w:jc w:val="center"/>
            </w:pPr>
            <w:r/>
            <w:r>
              <w:rPr>
                <w:sz w:val="20"/>
              </w:rPr>
              <w:t>0.036</w:t>
            </w:r>
          </w:p>
        </w:tc>
        <w:tc>
          <w:tcPr>
            <w:tcW w:type="dxa" w:w="2494"/>
          </w:tcPr>
          <w:p>
            <w:pPr>
              <w:jc w:val="center"/>
            </w:pPr>
            <w:r/>
            <w:r>
              <w:rPr>
                <w:sz w:val="20"/>
              </w:rPr>
              <w:t>0.062 (0.013, 0.111)</w:t>
            </w:r>
          </w:p>
        </w:tc>
        <w:tc>
          <w:tcPr>
            <w:tcW w:type="dxa" w:w="907"/>
          </w:tcPr>
          <w:p>
            <w:pPr>
              <w:jc w:val="center"/>
            </w:pPr>
            <w:r/>
            <w:r>
              <w:rPr>
                <w:sz w:val="20"/>
              </w:rPr>
              <w:t>0.013</w:t>
            </w:r>
          </w:p>
        </w:tc>
      </w:tr>
      <w:tr>
        <w:tc>
          <w:tcPr>
            <w:tcW w:type="dxa" w:w="1587"/>
          </w:tcPr>
          <w:p>
            <w:pPr>
              <w:jc w:val="left"/>
            </w:pPr>
            <w:r/>
            <w:r>
              <w:rPr>
                <w:sz w:val="20"/>
              </w:rPr>
              <w:t>Validation</w:t>
            </w:r>
          </w:p>
        </w:tc>
        <w:tc>
          <w:tcPr>
            <w:tcW w:type="dxa" w:w="2494"/>
          </w:tcPr>
          <w:p>
            <w:pPr>
              <w:jc w:val="center"/>
            </w:pPr>
            <w:r/>
            <w:r>
              <w:rPr>
                <w:sz w:val="20"/>
              </w:rPr>
              <w:t>0.544 (−0.076, 1.165)</w:t>
            </w:r>
          </w:p>
        </w:tc>
        <w:tc>
          <w:tcPr>
            <w:tcW w:type="dxa" w:w="907"/>
          </w:tcPr>
          <w:p>
            <w:pPr>
              <w:jc w:val="center"/>
            </w:pPr>
            <w:r/>
            <w:r>
              <w:rPr>
                <w:sz w:val="20"/>
              </w:rPr>
              <w:t>0.085</w:t>
            </w:r>
          </w:p>
        </w:tc>
        <w:tc>
          <w:tcPr>
            <w:tcW w:type="dxa" w:w="2494"/>
          </w:tcPr>
          <w:p>
            <w:pPr>
              <w:jc w:val="center"/>
            </w:pPr>
            <w:r/>
            <w:r>
              <w:rPr>
                <w:sz w:val="20"/>
              </w:rPr>
              <w:t>0.064 (−0.044, 0.171)</w:t>
            </w:r>
          </w:p>
        </w:tc>
        <w:tc>
          <w:tcPr>
            <w:tcW w:type="dxa" w:w="907"/>
          </w:tcPr>
          <w:p>
            <w:pPr>
              <w:jc w:val="center"/>
            </w:pPr>
            <w:r/>
            <w:r>
              <w:rPr>
                <w:sz w:val="20"/>
              </w:rPr>
              <w:t>0.245</w:t>
            </w:r>
          </w:p>
        </w:tc>
      </w:tr>
    </w:tbl>
    <w:p>
      <w:pPr>
        <w:spacing w:before="60"/>
      </w:pPr>
      <w:r>
        <w:rPr>
          <w:i/>
          <w:sz w:val="18"/>
        </w:rPr>
        <w:t>NRI, continuous net reclassification improvement; IDI, integrated discrimination improvement, for adding the Rad-score to the clinical model. Continuous NRI rejects the null more often than its nominal level implies and should be read alongside the IDI.</w:t>
      </w:r>
    </w:p>
    <w:p>
      <w:r>
        <w:br w:type="page"/>
      </w:r>
    </w:p>
    <w:p>
      <w:pPr>
        <w:jc w:val="center"/>
      </w:pPr>
      <w:r>
        <w:drawing>
          <wp:inline xmlns:a="http://schemas.openxmlformats.org/drawingml/2006/main" xmlns:pic="http://schemas.openxmlformats.org/drawingml/2006/picture">
            <wp:extent cx="6120000" cy="344340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20000" cy="3443404"/>
                    </a:xfrm>
                    <a:prstGeom prst="rect"/>
                  </pic:spPr>
                </pic:pic>
              </a:graphicData>
            </a:graphic>
          </wp:inline>
        </w:drawing>
      </w:r>
    </w:p>
    <w:p>
      <w:pPr>
        <w:spacing w:before="160" w:line="300" w:lineRule="auto"/>
      </w:pPr>
      <w:r>
        <w:rPr>
          <w:b/>
          <w:sz w:val="20"/>
        </w:rPr>
        <w:t>Fig.1</w:t>
      </w:r>
      <w:r>
        <w:rPr>
          <w:sz w:val="20"/>
        </w:rPr>
        <w:t xml:space="preserve"> Flowchart.</w:t>
      </w:r>
    </w:p>
    <w:p>
      <w:r>
        <w:br w:type="page"/>
      </w:r>
    </w:p>
    <w:p>
      <w:pPr>
        <w:jc w:val="center"/>
      </w:pPr>
      <w:r>
        <w:drawing>
          <wp:inline xmlns:a="http://schemas.openxmlformats.org/drawingml/2006/main" xmlns:pic="http://schemas.openxmlformats.org/drawingml/2006/picture">
            <wp:extent cx="6120000" cy="1417047"/>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120000" cy="1417047"/>
                    </a:xfrm>
                    <a:prstGeom prst="rect"/>
                  </pic:spPr>
                </pic:pic>
              </a:graphicData>
            </a:graphic>
          </wp:inline>
        </w:drawing>
      </w:r>
    </w:p>
    <w:p>
      <w:pPr>
        <w:spacing w:before="160" w:line="300" w:lineRule="auto"/>
      </w:pPr>
      <w:r>
        <w:rPr>
          <w:b/>
          <w:sz w:val="20"/>
        </w:rPr>
        <w:t>Fig.2</w:t>
      </w:r>
      <w:r>
        <w:rPr>
          <w:sz w:val="20"/>
        </w:rPr>
        <w:t xml:space="preserve"> Radiomics feature selection using the LASSO binary logistic regression model.(a) LASSO coefficient profiles of the radiomics features;(b) Optimal parameter (lambda) selection in the LASSO model;(c) Distribution of the selected radiomics features and their coefficients.</w:t>
      </w:r>
    </w:p>
    <w:p>
      <w:r>
        <w:br w:type="page"/>
      </w:r>
    </w:p>
    <w:p>
      <w:pPr>
        <w:jc w:val="center"/>
      </w:pPr>
      <w:r>
        <w:drawing>
          <wp:inline xmlns:a="http://schemas.openxmlformats.org/drawingml/2006/main" xmlns:pic="http://schemas.openxmlformats.org/drawingml/2006/picture">
            <wp:extent cx="6120000" cy="238723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120000" cy="2387234"/>
                    </a:xfrm>
                    <a:prstGeom prst="rect"/>
                  </pic:spPr>
                </pic:pic>
              </a:graphicData>
            </a:graphic>
          </wp:inline>
        </w:drawing>
      </w:r>
    </w:p>
    <w:p>
      <w:pPr>
        <w:spacing w:before="160" w:line="300" w:lineRule="auto"/>
      </w:pPr>
      <w:r>
        <w:rPr>
          <w:b/>
          <w:sz w:val="20"/>
        </w:rPr>
        <w:t>Fig.3</w:t>
      </w:r>
      <w:r>
        <w:rPr>
          <w:sz w:val="20"/>
        </w:rPr>
        <w:t xml:space="preserve"> Comparison of Rad-score distributions between patients with massive and non-massive hemoptysis in the training and internal validation cohorts.Box-and-jitter plots show the distributions of Rad-score in patients with non-massive and massive hemoptysis in the training cohort (a) and internal validation cohort (b). The center line represents the median, the box represents the interquartile range, the whiskers represent 1.5 times the interquartile range, and each dot represents an individual patient. The P values for between-group comparisons are shown above the brackets.</w:t>
      </w:r>
    </w:p>
    <w:p>
      <w:r>
        <w:br w:type="page"/>
      </w:r>
    </w:p>
    <w:p>
      <w:pPr>
        <w:jc w:val="center"/>
      </w:pPr>
      <w:r>
        <w:drawing>
          <wp:inline xmlns:a="http://schemas.openxmlformats.org/drawingml/2006/main" xmlns:pic="http://schemas.openxmlformats.org/drawingml/2006/picture">
            <wp:extent cx="6120000" cy="5974895"/>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120000" cy="5974895"/>
                    </a:xfrm>
                    <a:prstGeom prst="rect"/>
                  </pic:spPr>
                </pic:pic>
              </a:graphicData>
            </a:graphic>
          </wp:inline>
        </w:drawing>
      </w:r>
    </w:p>
    <w:p>
      <w:pPr>
        <w:spacing w:before="160" w:line="300" w:lineRule="auto"/>
      </w:pPr>
      <w:r>
        <w:rPr>
          <w:b/>
          <w:sz w:val="20"/>
        </w:rPr>
        <w:t>Fig.4</w:t>
      </w:r>
      <w:r>
        <w:rPr>
          <w:sz w:val="20"/>
        </w:rPr>
        <w:t xml:space="preserve"> Forest plots of factors associated with massive hemoptysis in the training cohort.Forest plots show the results of univariable (a) and multivariable (b) logistic regression analyses for massive hemoptysis. Squares represent odds ratios (ORs), horizontal lines represent 95% confidence intervals (CIs), and the vertical dashed line indicates the reference value of OR = 1. The x-axis is displayed on a logarithmic scale. BAA was defined as the presence of either BAPF or BAM. OR, odds ratio; CI, confidence interval; BAA, bronchial artery abnormality; BAPF, bronchial artery–pulmonary artery fistula; BAM, bronchial artery malformation; PLT, platelet count; INR, international normalized ratio; Rad-score, radiomics score.</w:t>
      </w:r>
    </w:p>
    <w:p>
      <w:r>
        <w:br w:type="page"/>
      </w:r>
    </w:p>
    <w:p>
      <w:pPr>
        <w:jc w:val="center"/>
      </w:pPr>
      <w:r>
        <w:drawing>
          <wp:inline xmlns:a="http://schemas.openxmlformats.org/drawingml/2006/main" xmlns:pic="http://schemas.openxmlformats.org/drawingml/2006/picture">
            <wp:extent cx="6120000" cy="4084823"/>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6120000" cy="4084823"/>
                    </a:xfrm>
                    <a:prstGeom prst="rect"/>
                  </pic:spPr>
                </pic:pic>
              </a:graphicData>
            </a:graphic>
          </wp:inline>
        </w:drawing>
      </w:r>
    </w:p>
    <w:p>
      <w:pPr>
        <w:spacing w:before="160" w:line="300" w:lineRule="auto"/>
      </w:pPr>
      <w:r>
        <w:rPr>
          <w:b/>
          <w:sz w:val="20"/>
        </w:rPr>
        <w:t>Fig.5</w:t>
      </w:r>
      <w:r>
        <w:rPr>
          <w:sz w:val="20"/>
        </w:rPr>
        <w:t xml:space="preserve"> Nomogram developed to differential diagnosis and risk stratification of hemoptysis. The nomogram was developed based on the multivariable logistic regression model incorporating tuberculosis, bronchial artery abnormality (BAA), fibrinogen, and Rad-score. For each patient, the value of each predictor is projected upward to the “Points” axis to obtain the corresponding score. The individual scores are summed to obtain the total points, which are then projected downward to estimate the predicted probability of massive hemoptysis.</w:t>
      </w:r>
    </w:p>
    <w:p>
      <w:r>
        <w:br w:type="page"/>
      </w:r>
    </w:p>
    <w:p>
      <w:pPr>
        <w:jc w:val="center"/>
      </w:pPr>
      <w:r>
        <w:drawing>
          <wp:inline xmlns:a="http://schemas.openxmlformats.org/drawingml/2006/main" xmlns:pic="http://schemas.openxmlformats.org/drawingml/2006/picture">
            <wp:extent cx="5715000" cy="720000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715000" cy="7200000"/>
                    </a:xfrm>
                    <a:prstGeom prst="rect"/>
                  </pic:spPr>
                </pic:pic>
              </a:graphicData>
            </a:graphic>
          </wp:inline>
        </w:drawing>
      </w:r>
    </w:p>
    <w:p>
      <w:pPr>
        <w:spacing w:before="160" w:line="300" w:lineRule="auto"/>
      </w:pPr>
      <w:r>
        <w:rPr>
          <w:b/>
          <w:sz w:val="20"/>
        </w:rPr>
        <w:t>Fig.6</w:t>
      </w:r>
      <w:r>
        <w:rPr>
          <w:sz w:val="20"/>
        </w:rPr>
        <w:t xml:space="preserve"> Evaluation of the predictive performance of the clinical-radiomics nomogram.</w:t>
      </w:r>
    </w:p>
    <w:p>
      <w:r>
        <w:br w:type="page"/>
      </w:r>
    </w:p>
    <w:p>
      <w:pPr>
        <w:jc w:val="center"/>
      </w:pPr>
      <w:r>
        <w:drawing>
          <wp:inline xmlns:a="http://schemas.openxmlformats.org/drawingml/2006/main" xmlns:pic="http://schemas.openxmlformats.org/drawingml/2006/picture">
            <wp:extent cx="6120000" cy="6395110"/>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6120000" cy="6395110"/>
                    </a:xfrm>
                    <a:prstGeom prst="rect"/>
                  </pic:spPr>
                </pic:pic>
              </a:graphicData>
            </a:graphic>
          </wp:inline>
        </w:drawing>
      </w:r>
    </w:p>
    <w:p>
      <w:pPr>
        <w:spacing w:before="160" w:line="300" w:lineRule="auto"/>
      </w:pPr>
      <w:r>
        <w:rPr>
          <w:b/>
          <w:sz w:val="20"/>
        </w:rPr>
        <w:t>Fig.7</w:t>
      </w:r>
      <w:r>
        <w:rPr>
          <w:sz w:val="20"/>
        </w:rPr>
        <w:t xml:space="preserve"> Rationality analysis: Area Under the Curve (AUC) of various influencing factors and Multi-model comparison. (a,c) training cohort ;(b,d)validation cohort.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