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most recorded baseline variables: age (overall median 61 years, IQR 54 to 70; p=0.222), sex (130/188 male, 69.15%; p=0.709), smoking status (113/188 ever-smokers, 60.11%; p=0.688), duration of smoking, comorbid cancer, tuberculosis, bronchiectasis and fungal infection, antiplatelet and antithrombotic medication, platelet count (PLT), D-dimer (D-D), international normalised ratio (INR) and fibrinogen (Fib), none of which reached p&lt;0.10 (Table 1).</w:t>
      </w:r>
    </w:p>
    <w:p>
      <w:pPr>
        <w:spacing w:line="480" w:lineRule="auto"/>
        <w:ind w:firstLine="720"/>
      </w:pPr>
      <w:r>
        <w:rPr>
          <w:i w:val="0"/>
        </w:rPr>
        <w:t>One variable was the exception. Bronchial artery abnormality (BAA), a composite of bronchial artery–pulmonary fistula and bronchial artery malformation, which represent variants of the same abnormal bronchial arterial vasculature, was present in 38 of 188 patients overall (20.21%) but was distributed unevenly between the two sets: 21 of 131 training patients (16.03%) and 17 of 57 validation patients (29.82%), p=0.049. The validation cohort therefore carried nearly twice the prevalence of the strongest binary term in the model. Because the sets were generated by random splitting rather than by any allocation rule, this difference is a product of the partition obtained rather than of any systematic difference in ascertainment, but it should be kept in view when the two cohorts are compared.</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Of 1,315 features extracted, 484 (36.8%) had an inter-reader intraclass correlation coefficient (ICC) above 0.75 and were retained, with ICCs ranging from 0.760 to 0.914 (median 0.849). The maximum-relevance minimum-redundancy (mRMR) algorithm reduced these to 35, which entered the least absolute shrinkage and selection operator (LASSO) step.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spacing w:line="480" w:lineRule="auto"/>
        <w:ind w:firstLine="720"/>
      </w:pPr>
      <w:r>
        <w:rPr>
          <w:i w:val="0"/>
        </w:rPr>
        <w:t>The Rad-score was higher in patients presenting with massive haemoptysis than in those with mild-to-moderate haemoptysis in the training cohort (median −1.043, IQR −1.189 to −0.706, n=30 versus median −1.361, IQR −1.640 to −1.062, n=101; Mann–Whitney U, p=1.49 × 10⁻⁵). The difference ran in the same direction in the internal validation cohort (median −1.029, IQR −1.275 to −0.596, n=12 versus median −1.189, IQR −1.523 to −0.954, n=45) but did not reach statistical significance (p=0.122). With 12 cases available for that comparison, this is an indeterminate rather than a negative result (Figure 3, Table 4).</w:t>
      </w:r>
    </w:p>
    <w:p>
      <w:pPr>
        <w:pStyle w:val="Heading2"/>
      </w:pPr>
      <w:r>
        <w:rPr>
          <w:rFonts w:ascii="Times New Roman" w:hAnsi="Times New Roman"/>
        </w:rPr>
        <w:t>Variables associated with massive haemoptysis</w:t>
      </w:r>
    </w:p>
    <w:p>
      <w:pPr>
        <w:spacing w:line="480" w:lineRule="auto"/>
        <w:ind w:firstLine="720"/>
      </w:pPr>
      <w:r>
        <w:rPr>
          <w:i w:val="0"/>
        </w:rPr>
        <w:t>Five variables were associated with massive haemoptysis in univariable logistic regression (Table 2, Figure 4a): tuberculosis (OR 4.23, 95% CI 1.43 to 12.51; p=0.009), bronchiectasis (OR 2.36, 95% CI 1.03 to 5.41; p=0.042), BAA (OR 5.27, 95% CI 1.96 to 14.16; p=0.001),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BAA and the Rad-score are wide and their lower bounds lie close to unity, which is consistent with the small number of events available (42 in total, 30 in the training set).</w:t>
      </w:r>
    </w:p>
    <w:p>
      <w:pPr>
        <w:spacing w:line="480" w:lineRule="auto"/>
        <w:ind w:firstLine="720"/>
      </w:pPr>
      <w:r>
        <w:rPr>
          <w:i w:val="0"/>
        </w:rPr>
        <w:t>Four variables remained independently associated with massive haemoptysis after mutual adjustment (Table 2, Figure 4b): tuberculosis (OR 5.18, 95% CI 1.42 to 18.93; p=0.013), BAA (OR 4.32, 95% CI 1.33 to 14.10; p=0.015), fibrinogen (OR 0.65, 95% CI 0.45 to 0.95; p=0.025) and the Rad-score (OR 4.73, 95% CI 1.53 to 14.63; p=0.007). Bronchiectasis, although associated on univariable testing, did not retain an independent association and was not carried into the final model. Higher fibrinogen was associated with a lower probability of massive presentation. With 30 events and four retained predictors, the model operates at roughly 7.5 events per variable, below the conventional threshold of ten, so the adjusted point estimates should be read as provisional.</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5). The Rad-score carries the largest weight, followed by fibrinogen, which is plotted on a descending scale so that lower values attract more points. Tuberculosis and BAA each contribute a smaller fixed amount when present.</w:t>
      </w:r>
    </w:p>
    <w:p>
      <w:pPr>
        <w:spacing w:line="480" w:lineRule="auto"/>
        <w:ind w:firstLine="720"/>
      </w:pPr>
      <w:r>
        <w:rPr>
          <w:i/>
        </w:rPr>
        <w:t>[The nomogram axis is still labelled BAPF and needs relabelling to BAA to match Table 1, Table 2 and the text. Point allocations are deliberately not reported in the text.]</w:t>
      </w:r>
    </w:p>
    <w:p>
      <w:pPr>
        <w:spacing w:line="480" w:lineRule="auto"/>
        <w:ind w:firstLine="720"/>
      </w:pPr>
      <w:r>
        <w:rPr>
          <w:i w:val="0"/>
        </w:rPr>
        <w:t>A single classification cut-point of 0.255 in estimated probability was derived from the maximum Youden index of the training-set ROC curve. This cut-point was then applied unchanged to the internal validation set; no cut-point was re-optimised in the validation data.</w:t>
      </w:r>
    </w:p>
    <w:p>
      <w:pPr>
        <w:spacing w:line="480" w:lineRule="auto"/>
        <w:ind w:firstLine="720"/>
      </w:pPr>
      <w:r>
        <w:rPr>
          <w:i w:val="0"/>
        </w:rPr>
        <w:t>Discrimination was good in the training cohort, with an area under the receiver operating characteristic curve (AUC) of 0.850 (95% CI 0.775 to 0.925), sensitivity 0.767 (23/30), specificity 0.842 (85/101) and accuracy 0.824 (108/131) at the 0.255 cut-point. In the internal validation cohort the AUC was 0.794 (95% CI 0.631 to 0.958), with sensitivity 0.750 (9/12), specificity 0.667 (30/45) and accuracy 0.684 (39/57) at the same cut-point (Table 3, Figure 6). Sensitivity was thus slightly higher and specificity appreciably lower in validation than in training, and overall accuracy fell from 0.824 to 0.684. The validation interval spans 0.327 AUC units and its lower bound lies close to the 0.5 no-discrimination line, so the validation result is compatible with performance ranging from marginal to excellent and should not be read as confirmation of the training estimate.</w:t>
      </w:r>
    </w:p>
    <w:p>
      <w:pPr>
        <w:spacing w:line="480" w:lineRule="auto"/>
        <w:ind w:firstLine="720"/>
      </w:pPr>
      <w:r>
        <w:rPr>
          <w:i w:val="0"/>
        </w:rPr>
        <w:t>An unpaired DeLong test comparing the two cohorts did not detect a difference between the training and validation AUCs (D=0.604, df=80.7, p=0.547). Two features of this comparison limit what it establishes. The training AUC is an apparent estimate obtained on the data used to fit the model and is therefore optimistically biased, whereas the validation AUC is not, so the two quantities are not exchangeable. The validation set also contains only 12 events, which leaves the test with little power to detect a drop in discrimination. The result therefore indicates that the available data do not detect deterioration between cohorts, not that discrimination has been shown to be stable. This comparison is also distinct from the between-model comparisons reported in the next section, and the two cannot substitute for one another.</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within each cohort: the Rad-score alone, the clinical model combining tuberculosis, BAPF and fibrinogen, and the combined clinical–radiomic nomogram (Figure 7c and 7d, Table 5). In the training cohort the combined model reached an AUC of 0.850 (95% CI 0.775 to 0.925), against 0.796 (95% CI 0.693 to 0.898) for the clinical model and 0.761 (95% CI 0.672 to 0.850) for the Rad-score alone. The corresponding validation figures were 0.794 (95% CI 0.631 to 0.958), 0.744 (95% CI 0.555 to 0.934) and 0.647 (95% CI 0.456 to 0.839).</w:t>
      </w:r>
    </w:p>
    <w:p>
      <w:pPr>
        <w:spacing w:line="480" w:lineRule="auto"/>
        <w:ind w:firstLine="720"/>
      </w:pPr>
      <w:r>
        <w:rPr>
          <w:i w:val="0"/>
        </w:rPr>
        <w:t>Paired DeLong tests gave a mixed picture. In the training cohort the combined model outperformed the Rad-score alone (ΔAUC 0.089; Z=2.058, p=0.040), but its advantage over the clinical model did not reach significance (ΔAUC 0.054; Z=1.841, p=0.066), and the Rad-score and clinical models did not differ from one another (Z=−0.514, p=0.608). Three pairwise comparisons were made in each cohort, so the nominal p of 0.040 does not survive a Bonferroni-corrected threshold of 0.0167. None of the three comparisons reached significance in the internal validation cohort (p=0.170, 0.333 and 0.506 respectively).</w:t>
      </w:r>
    </w:p>
    <w:p>
      <w:pPr>
        <w:spacing w:line="480" w:lineRule="auto"/>
        <w:ind w:firstLine="720"/>
      </w:pPr>
      <w:r>
        <w:rPr>
          <w:i w:val="0"/>
        </w:rPr>
        <w:t>Reclassification metrics were more favourable to the combined model than the change in AUC was. Adding the Rad-score to the clinical model yielded a continuous net reclassification improvement of 0.428 (95% CI 0.029 to 0.827; p=0.036) and an integrated discrimination improvement of 0.062 (95% CI 0.013 to 0.111; p=0.013) in the training cohort (Table 6). Neither reached significance in validation (NRI 0.544, 95% CI −0.076 to 1.165, p=0.085; IDI 0.064, 95% CI −0.044 to 0.171, p=0.245). Continuous NRI is known to reject the null more often than its nominal level implies, and the lower bound of the training estimate lies only just above zero, so it carries less weight than the IDI result.</w:t>
      </w:r>
    </w:p>
    <w:p>
      <w:pPr>
        <w:spacing w:line="480" w:lineRule="auto"/>
        <w:ind w:firstLine="720"/>
      </w:pPr>
      <w:r>
        <w:rPr>
          <w:i w:val="0"/>
        </w:rPr>
        <w:t>Taken together, the incremental value of the radiomic component over clinical variables alone is supported by the reclassification metrics in the training cohort, is not supported by the change in AUC in that cohort, and is not confirmed by either metric in the internal validation cohort, where 12 events leave every comparison underpowered. Single-variable ROC curves are shown in Figure 7a and 7b. The combined nomogram lies outside every individual predictor across most of the operating range in the training cohort, whereas in validation the fibrinogen curve falls below the diagonal over much of its range, indicating that this variable alone carries little discriminative information in that sample.</w:t>
      </w:r>
    </w:p>
    <w:p>
      <w:pPr>
        <w:pStyle w:val="Heading2"/>
      </w:pPr>
      <w:r>
        <w:rPr>
          <w:rFonts w:ascii="Times New Roman" w:hAnsi="Times New Roman"/>
        </w:rPr>
        <w:t>Calibration and clinical utility</w:t>
      </w:r>
    </w:p>
    <w:p>
      <w:pPr>
        <w:spacing w:line="480" w:lineRule="auto"/>
        <w:ind w:firstLine="720"/>
      </w:pPr>
      <w:r>
        <w:rPr>
          <w:i w:val="0"/>
        </w:rPr>
        <w:t>In the training cohort the nomogram showed close agreement between estimated and observed probabilities, with a Brier score of 0.126, Dxy 0.700 and R² 0.376, and a maximum absolute calibration error of 0.101 (E90 0.058, average error 0.024) (Figure 8a). The calibration intercept of 0.000 and slope of 1.000 are apparent values obtained on the data used to fit the model; no bootstrap optimism correction was applied, so they quantify fit rather than transportability.</w:t>
      </w:r>
    </w:p>
    <w:p>
      <w:pPr>
        <w:spacing w:line="480" w:lineRule="auto"/>
        <w:ind w:firstLine="720"/>
      </w:pPr>
      <w:r>
        <w:rPr>
          <w:i w:val="0"/>
        </w:rPr>
        <w:t>Calibration was substantially weaker in the internal validation cohort (Figure 8b). The Brier score was 0.141, Dxy 0.589 and R² 0.178, and the logistic calibration curve lay below the diagonal across its entire range, with a calibration intercept of −0.781 and a slope of 0.741. The model therefore overestimates the probability of massive haemoptysis systematically, and increasingly so at higher estimated probabilities: the maximum absolute error was 0.237, with E90 0.206 and an average error of 0.111. The calibration curve corresponds to observed proportions of 0.253, 0.382 and 0.561 at estimated probabilities of 0.4, 0.6 and 0.8, an absolute overestimation of 0.15 to 0.24 across that range.</w:t>
      </w:r>
    </w:p>
    <w:p>
      <w:pPr>
        <w:spacing w:line="480" w:lineRule="auto"/>
        <w:ind w:firstLine="720"/>
      </w:pPr>
      <w:r>
        <w:rPr>
          <w:i w:val="0"/>
        </w:rPr>
        <w:t>The Hosmer–Lemeshow test detected no significant departure from the fitted model in either cohort (training χ²=7.572, df=8, p=0.476; validation χ²=9.213, df=8, p=0.325). These results should not be read as evidence of adequate calibration. With 57 patients and 12 events the validation test has very little power, and the calibration intercept and slope reported above show a clear departure from the identity line that the test does not detect. Recalibration of the intercept would be required before the estimated probabilities could be used as absolute risks outside the development sample.</w:t>
      </w:r>
    </w:p>
    <w:p>
      <w:pPr>
        <w:spacing w:line="480" w:lineRule="auto"/>
        <w:ind w:firstLine="720"/>
      </w:pPr>
      <w:r>
        <w:rPr>
          <w:i w:val="0"/>
        </w:rPr>
        <w:t>Decision-curve analysis indicated net benefit over the treat-all and treat-none strategies across a clinically usable range of threshold probabilities (Figure 9). In the training cohort the nomogram was the preferred strategy from approximately 0.05 to 0.72, with net benefit falling below zero only beyond that point. In the internal validation cohort the advantage held from approximately 0.05 to 0.60, after which net benefit oscillated around zero and became negative beyond about 0.75; few patients received estimated probabilities in that upper range, so the high-threshold portion of the validation curve is unstable. Across the threshold band most relevant to triage at presentation, roughly 0.10 to 0.40, the nomogram retained a clear positive net benefit in both cohorts.</w:t>
      </w:r>
    </w:p>
    <w:p>
      <w:r>
        <w:br w:type="page"/>
      </w:r>
    </w:p>
    <w:p>
      <w:pPr>
        <w:pStyle w:val="Heading1"/>
      </w:pPr>
      <w:r>
        <w:rPr>
          <w:rFonts w:ascii="Times New Roman" w:hAnsi="Times New Roman"/>
        </w:rPr>
        <w:t>Figure legends</w:t>
      </w:r>
    </w:p>
    <w:p>
      <w:pPr>
        <w:ind w:firstLine="0"/>
      </w:pPr>
      <w:r>
        <w:t>Figures have been renumbered to follow order of first citation and to accommodate the new Rad-score distribution figure (Figure 3) and the new four-panel ROC figure (Figure 7, which replaces the previous Figures 8 and 9 and adds validation panels). Mapping: new Figure 4 = old Figure 3; new Figure 5 = old Figure 4; new Figure 6 = old Figure 5; new Figure 8 = old Figure 6; new Figure 9 = old Figure 7. Figures 1 and 2 are unchanged. Nine main-text figures, each covering both cohorts; no supplementary figure is needed. Update cross-references elsewhere in the manuscript, in particular any reference to the Model A / B / C letters, whose meanings are reversed between the old and new artwork.</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 [NEW]</w:t>
      </w:r>
      <w:r>
        <w:t xml:space="preserve"> Distribution of the Rad-score by presentation group in (a) the training cohort and (b) the internal validation cohort. Boxes show the median and interquartile range, whiskers extend to 1.5 times the interquartile range, and individual patients are overlaid. Groups were compared by the Mann–Whitney U test. [Artwork note: the panel order has been corrected. Two items remain: the training panel prints the p-value as '&lt;0.01' while Table 4 gives '&lt;0.05', so state the exact p and make the figure, the table and the text agree; and the training panel x-axis label still reads 'No massive hemoptysis0' with a stray zero.]</w:t>
      </w:r>
    </w:p>
    <w:p>
      <w:pPr>
        <w:spacing w:line="480" w:lineRule="auto" w:after="120"/>
        <w:ind w:firstLine="0"/>
      </w:pPr>
      <w:r>
        <w:rPr>
          <w:b/>
        </w:rPr>
        <w:t>Figure 4.</w:t>
      </w:r>
      <w:r>
        <w:t xml:space="preserve"> Forest plots of (a) univariable and (b) multivariable logistic regression for massive haemoptysis in the training cohort. Squares denote odds-ratio point estimates and horizontal lines the 95% confidence intervals. Arrowheads in (a) indicate intervals extending beyond the plotted axis. BAA, bronchial artery abnormality. [Both panels need redrawing from the adopted fit, with a single BAA row replacing the separate BAPF and BAM rows.]</w:t>
      </w:r>
    </w:p>
    <w:p>
      <w:pPr>
        <w:spacing w:line="480" w:lineRule="auto" w:after="120"/>
        <w:ind w:firstLine="0"/>
      </w:pPr>
      <w:r>
        <w:rPr>
          <w:b/>
        </w:rPr>
        <w:t>Figure 5.</w:t>
      </w:r>
      <w:r>
        <w:t xml:space="preserve"> Nomogram for the individualised probability of massive haemoptysis at presentation, built from tuberculosis, BAA, fibrinogen and the Rad-score. Fibrinogen is plotted on a descending scale, so lower values attract more points. BAA, bronchial artery abnormality (BAPF and/or BAM). [The second axis of the redrawn figure is still labelled BAPF and needs relabelling to BAA.]</w:t>
      </w:r>
    </w:p>
    <w:p>
      <w:pPr>
        <w:spacing w:line="480" w:lineRule="auto" w:after="120"/>
        <w:ind w:firstLine="0"/>
      </w:pPr>
      <w:r>
        <w:rPr>
          <w:b/>
        </w:rPr>
        <w:t>Figure 6.</w:t>
      </w:r>
      <w:r>
        <w:t xml:space="preserve"> ROC curves of the clinical–radiomic nomogram in (a) the training cohort and (b) the internal validation cohort. The classification cut-point of 0.255 was derived from the maximum Youden index in the training cohort and applied unchanged to the validation cohort. [Artwork note: delete the 0.447 annotation from the validation panel. That value is the cut-point optimised within the validation set itself, and leaving it on the figure will be read as re-optimisation in the validation data.]</w:t>
      </w:r>
    </w:p>
    <w:p>
      <w:pPr>
        <w:spacing w:line="480" w:lineRule="auto" w:after="120"/>
        <w:ind w:firstLine="0"/>
      </w:pPr>
      <w:r>
        <w:rPr>
          <w:b/>
        </w:rPr>
        <w:t>Figure 7. [NEW]</w:t>
      </w:r>
      <w:r>
        <w:t xml:space="preserve"> ROC analysis of individual predictors and of the three candidate models, replacing the previous Figures 8 and 9. (a) Individual candidate predictors in the training cohort and (b) in the internal validation cohort; TB and BAPF are binary, so their curves consist of two linear segments, and Nomo denotes the combined nomogram. (c) Model comparison in the training cohort and (d) in the internal validation cohort. ModA, combined clinical–radiomic model; ModB, clinical model (tuberculosis, BAPF and fibrinogen); ModC, Rad-score alone. [Note: these letter assignments are reversed relative to the previous artwork, where ModA was the Rad-score and ModC the combined model. The text uses descriptive model names throughout to avoid the ambiguity; any use of the letters elsewhere in the manuscript must be checked. Panels (a) and (b) do not display per-variable AUC values, and the legend does not claim them.]</w:t>
      </w:r>
    </w:p>
    <w:p>
      <w:pPr>
        <w:spacing w:line="480" w:lineRule="auto" w:after="120"/>
        <w:ind w:firstLine="0"/>
      </w:pPr>
      <w:r>
        <w:rPr>
          <w:b/>
        </w:rPr>
        <w:t>Figure 8.</w:t>
      </w:r>
      <w:r>
        <w:t xml:space="preserve"> Calibration of the nomogram in (a) the training cohort and (b) the internal validation cohort. The grey line is the ideal diagonal, the solid black line the logistic calibration curve and the dotted line the non-parametric estimate. Training values are apparent and uncorrected for optimism. Hosmer–Lemeshow: training χ²=7.572, df=8, p=0.476; validation χ²=9.213, df=8, p=0.325.</w:t>
      </w:r>
    </w:p>
    <w:p>
      <w:pPr>
        <w:spacing w:line="480" w:lineRule="auto" w:after="120"/>
        <w:ind w:firstLine="0"/>
      </w:pPr>
      <w:r>
        <w:rPr>
          <w:b/>
        </w:rPr>
        <w:t>Figure 9.</w:t>
      </w:r>
      <w:r>
        <w:t xml:space="preserve"> Decision-curve analysis in (a) the training cohort and (b) the internal validation cohort, showing net benefit of the nomogram against the treat-all and treat-none reference strategies.</w:t>
      </w:r>
    </w:p>
    <w:p/>
    <w:p>
      <w:pPr>
        <w:spacing w:line="480" w:lineRule="auto" w:after="120"/>
        <w:ind w:firstLine="0"/>
      </w:pPr>
      <w:r>
        <w:rPr>
          <w:b/>
        </w:rPr>
        <w:t>Table 1.</w:t>
      </w:r>
      <w:r>
        <w:t xml:space="preserve"> Baseline characteristics. The separate BAPF and BAM rows are removed; only the BAA row is retained (38 of 188, 20.21% overall; 21 of 131, 16.03% training; 17 of 57, 29.82% validation; p=0.049). Footnote: BAA, bronchial artery abnormality, comprising bronchial artery-pulmonary fistula (n = 27) and bronchial artery malformation (n = 18), with 7 patients carrying both.</w:t>
      </w:r>
    </w:p>
    <w:p>
      <w:pPr>
        <w:spacing w:line="480" w:lineRule="auto" w:after="120"/>
        <w:ind w:firstLine="0"/>
      </w:pPr>
      <w:r>
        <w:rPr>
          <w:b/>
        </w:rPr>
        <w:t>Table 2.</w:t>
      </w:r>
      <w:r>
        <w:t xml:space="preserve"> Univariable and multivariable logistic regression. All univariable rows are retained: the original 17 variables become 16 once BAPF and BAM are combined into the single BAA row. The univariable column is filled throughout and the multivariable column only for the four variables retained in the model, with dashes elsewhere. The Rad-score univariable p-value printed as 0.000 in the source table should be written as &lt;0.001. A single column of exact p-values is enough; the paired thresholded and raw columns are redundant.</w:t>
      </w:r>
    </w:p>
    <w:p>
      <w:pPr>
        <w:spacing w:line="480" w:lineRule="auto" w:after="120"/>
        <w:ind w:firstLine="0"/>
      </w:pPr>
      <w:r>
        <w:rPr>
          <w:b/>
        </w:rPr>
        <w:t>Table 3 footnote (suggested addition).</w:t>
      </w:r>
      <w:r>
        <w:t xml:space="preserve"> Accuracy, sensitivity and specificity were derived at an estimated-probability cut-point of 0.255, obtained from the maximum Youden index of the training-cohort ROC curve and applied unchanged to the internal validation cohort.</w:t>
      </w:r>
    </w:p>
    <w:p>
      <w:pPr>
        <w:spacing w:line="480" w:lineRule="auto" w:after="120"/>
        <w:ind w:firstLine="0"/>
      </w:pPr>
      <w:r>
        <w:rPr>
          <w:b/>
        </w:rPr>
        <w:t>Table 4.</w:t>
      </w:r>
      <w:r>
        <w:t xml:space="preserve"> Distribution of the Rad-score by presentation group in the training and internal validation cohorts. Suggested edits: drop the redundant IQR column (IQR = Q3 minus Q1, verified for all four groups) and keep Median (Q1, Q3); move 'Mann-Whitney U' from a data column to a footnote covering all four rows.</w:t>
      </w:r>
    </w:p>
    <w:p>
      <w:pPr>
        <w:spacing w:line="480" w:lineRule="auto" w:after="120"/>
        <w:ind w:firstLine="0"/>
      </w:pPr>
      <w:r>
        <w:rPr>
          <w:b/>
        </w:rPr>
        <w:t>Table 5.</w:t>
      </w:r>
      <w:r>
        <w:t xml:space="preserve"> Discrimination of the combined, clinical and Rad-score models and their pairwise comparison by DeLong's test, in the training and internal validation cohorts. This merges the two supplied tables: the per-model AUCs are already carried by the comparison table, so a separate AUC table is not needed. Footnote: combined model = Rad-score with TB, BAPF and fibrinogen; clinical model = TB, BAPF and fibrinogen.</w:t>
      </w:r>
    </w:p>
    <w:p>
      <w:pPr>
        <w:spacing w:line="480" w:lineRule="auto" w:after="120"/>
        <w:ind w:firstLine="0"/>
      </w:pPr>
      <w:r>
        <w:rPr>
          <w:b/>
        </w:rPr>
        <w:t>Table 6.</w:t>
      </w:r>
      <w:r>
        <w:t xml:space="preserve"> Continuous NRI and IDI of the combined model compared with the clinical model, in the training and internal validation cohorts.</w:t>
      </w:r>
    </w:p>
    <w:p/>
    <w:p>
      <w:pPr>
        <w:pStyle w:val="Heading1"/>
      </w:pPr>
      <w:r>
        <w:rPr>
          <w:rFonts w:ascii="Times New Roman" w:hAnsi="Times New Roman"/>
        </w:rPr>
        <w:t>Outstanding items before submission</w:t>
      </w:r>
    </w:p>
    <w:p>
      <w:pPr>
        <w:spacing w:after="120"/>
        <w:ind w:firstLine="0"/>
      </w:pPr>
      <w:r>
        <w:t>1. Do not use the calibration sentence from the supplementary document. It states that the non-significant Hosmer-Lemeshow results suggest acceptable calibration in both datasets, which the same document's own figure contradicts: the validation intercept is -0.781, the slope 0.741, Emax 0.237, and the calibration curve lies below the diagonal across its whole range. With 12 events the test has almost no power, so a non-significant result cannot support the claim. The text reports the figures as they stand.</w:t>
      </w:r>
    </w:p>
    <w:p>
      <w:pPr>
        <w:spacing w:after="120"/>
        <w:ind w:firstLine="0"/>
      </w:pPr>
      <w:r>
        <w:t>2. Calibration in validation is worse after the merge, not better: intercept -0.688 to -0.781, slope 0.804 to 0.741, average error 0.088 to 0.111, while the AUC rose from 0.781 to 0.794. Discrimination and calibration moved in opposite directions, which is worth a sentence in the Discussion.</w:t>
      </w:r>
    </w:p>
    <w:p>
      <w:pPr>
        <w:spacing w:after="120"/>
        <w:ind w:firstLine="0"/>
      </w:pPr>
      <w:r>
        <w:t>3. The BAA row in Table 1 differs between cohorts at p=0.049, the only baseline variable that does. Training prevalence is 16.03% against 29.82% in validation. Separately, BAPF and BAM were both non-significant (p=0.134 and 0.271); the imbalance emerges only on combining them. This is a chance product of the random split, but the validation cohort carries nearly twice the prevalence of the strongest binary term, which may bear on the weaker validation calibration and the lower validation specificity.</w:t>
      </w:r>
    </w:p>
    <w:p>
      <w:pPr>
        <w:spacing w:after="120"/>
        <w:ind w:firstLine="0"/>
      </w:pPr>
      <w:r>
        <w:t>4. The redrawn nomogram's second axis is still labelled BAPF and needs relabelling to BAA.</w:t>
      </w:r>
    </w:p>
    <w:p>
      <w:pPr>
        <w:spacing w:after="120"/>
        <w:ind w:firstLine="0"/>
      </w:pPr>
      <w:r>
        <w:t>5. The Rad-score univariable p-value is printed as 0.000 and should be written as &lt;0.001.</w:t>
      </w:r>
    </w:p>
    <w:p>
      <w:pPr>
        <w:spacing w:after="120"/>
        <w:ind w:firstLine="0"/>
      </w:pPr>
      <w:r>
        <w:t>6. Nomogram point allocations in the text were read from the figure and should be checked against the nomogram() output.</w:t>
      </w:r>
    </w:p>
    <w:p>
      <w:pPr>
        <w:spacing w:after="120"/>
        <w:ind w:firstLine="0"/>
      </w:pPr>
      <w:r>
        <w:t>7. Methods should record the ICC form used for inter-reader reproducibility: a two-way random-effects model for absolute agreement with single measurements, ICC(2,1). A ready-to-paste sentence is in the working markdown file.</w:t>
      </w:r>
    </w:p>
    <w:p>
      <w:pPr>
        <w:spacing w:after="120"/>
        <w:ind w:firstLine="0"/>
      </w:pPr>
      <w:r>
        <w:t>8. Model letter reversal. ModA and ModC have swapped meanings between the old and new artwork. The Results text names models descriptively; the Discussion must be checked.</w:t>
      </w:r>
    </w:p>
    <w:p>
      <w:pPr>
        <w:spacing w:after="120"/>
        <w:ind w:firstLine="0"/>
      </w:pPr>
      <w:r>
        <w:t>9. Artwork: delete the 0.447 annotation from the validation ROC panel, and remove the stray zero from the training boxplot x-axis label.</w:t>
      </w:r>
    </w:p>
    <w:p>
      <w:pPr>
        <w:spacing w:after="120"/>
        <w:ind w:firstLine="0"/>
      </w:pPr>
      <w:r>
        <w:t>10. RESOLVED. The cascade is 1,315 extracted, 484 (36.8%) retained at ICC above 0.75, 35 after mRMR and 6 after LASSO, with retained-feature ICCs of 0.760 to 0.914 (median 0.849). The 35 matches the figure-axis reading, so the cascade is self-consistent. The ICC form is a two-way random-effects model for absolute agreement using single measurements, ICC(2,1); a ready-to-paste Methods sentence is in the working file. All Results data are now settled.</w:t>
      </w:r>
    </w:p>
    <w:p>
      <w:pPr>
        <w:spacing w:after="120"/>
        <w:ind w:firstLine="0"/>
      </w:pPr>
      <w:r>
        <w:t>11. Bootstrap internal validation with optimism correction would address the events-per-variable ratio of roughly 7.5, and is more pertinent now that a variable definition was changed during model development.</w:t>
      </w:r>
    </w:p>
    <w:p>
      <w:pPr>
        <w:spacing w:after="120"/>
        <w:ind w:firstLine="0"/>
      </w:pPr>
      <w:r>
        <w:t>12. Remove the two unrelated references at the end of the section (Ao et al. on ferroptosis in rheumatoid arthritis; Shen et al. on the alpha-7 nicotinic acetylcholine receptor agonist).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